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1" w:rsidRPr="00B74549" w:rsidRDefault="000B3549" w:rsidP="00B74549">
      <w:pPr>
        <w:spacing w:after="0"/>
        <w:jc w:val="both"/>
        <w:rPr>
          <w:rStyle w:val="A1"/>
          <w:rFonts w:ascii="Helvetica" w:hAnsi="Helvetica"/>
          <w:sz w:val="22"/>
          <w:szCs w:val="22"/>
        </w:rPr>
      </w:pPr>
      <w:r w:rsidRPr="00B74549">
        <w:rPr>
          <w:rFonts w:ascii="Helvetica" w:hAnsi="Helvetica" w:cs="Helvetica Light"/>
          <w:i/>
          <w:iCs/>
          <w:color w:val="221E1F"/>
        </w:rPr>
        <w:t xml:space="preserve">Divide et Impera. </w:t>
      </w:r>
      <w:r w:rsidRPr="00B74549">
        <w:rPr>
          <w:rFonts w:ascii="Helvetica" w:hAnsi="Helvetica" w:cs="Helvetica Light"/>
          <w:color w:val="221E1F"/>
        </w:rPr>
        <w:t>La lógica realista de la unipolaridad sudamericana</w:t>
      </w:r>
    </w:p>
    <w:p w:rsidR="009E3B11" w:rsidRPr="00B74549" w:rsidRDefault="009E3B11" w:rsidP="00B74549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0B3549" w:rsidRPr="00B74549" w:rsidRDefault="000B3549" w:rsidP="00B74549">
      <w:pPr>
        <w:spacing w:after="0" w:line="240" w:lineRule="auto"/>
        <w:jc w:val="both"/>
        <w:rPr>
          <w:rFonts w:ascii="Helvetica" w:hAnsi="Helvetica" w:cs="Helvetica"/>
          <w:color w:val="221E1F"/>
        </w:rPr>
      </w:pPr>
      <w:r w:rsidRPr="00B74549">
        <w:rPr>
          <w:rFonts w:ascii="Helvetica" w:hAnsi="Helvetica" w:cs="Helvetica"/>
          <w:color w:val="221E1F"/>
        </w:rPr>
        <w:t xml:space="preserve">Luis L. </w:t>
      </w:r>
      <w:proofErr w:type="spellStart"/>
      <w:r w:rsidRPr="00B74549">
        <w:rPr>
          <w:rFonts w:ascii="Helvetica" w:hAnsi="Helvetica" w:cs="Helvetica"/>
          <w:color w:val="221E1F"/>
        </w:rPr>
        <w:t>Schenoni</w:t>
      </w:r>
      <w:proofErr w:type="spellEnd"/>
    </w:p>
    <w:p w:rsidR="000B3549" w:rsidRPr="00B74549" w:rsidRDefault="000B3549" w:rsidP="00B74549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B74549" w:rsidRDefault="00DF6083" w:rsidP="00B74549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B74549">
        <w:rPr>
          <w:rFonts w:ascii="Helvetica" w:hAnsi="Helvetica" w:cs="Arial"/>
          <w:color w:val="231F20"/>
        </w:rPr>
        <w:t>[</w:t>
      </w:r>
      <w:r w:rsidRPr="00B74549">
        <w:rPr>
          <w:rFonts w:ascii="Helvetica" w:hAnsi="Helvetica" w:cs="Arial"/>
          <w:color w:val="000000"/>
        </w:rPr>
        <w:t xml:space="preserve">ICTA </w:t>
      </w:r>
      <w:r w:rsidR="0057703D" w:rsidRPr="00B74549">
        <w:rPr>
          <w:rFonts w:ascii="Helvetica" w:hAnsi="Helvetica" w:cs="Arial"/>
          <w:color w:val="000000"/>
        </w:rPr>
        <w:t>Art</w:t>
      </w:r>
      <w:r w:rsidRPr="00B74549">
        <w:rPr>
          <w:rFonts w:ascii="Helvetica" w:hAnsi="Helvetica" w:cs="Arial"/>
          <w:color w:val="000000"/>
        </w:rPr>
        <w:t xml:space="preserve"> 1</w:t>
      </w:r>
      <w:r w:rsidR="00E05F54" w:rsidRPr="00B74549">
        <w:rPr>
          <w:rFonts w:ascii="Helvetica" w:hAnsi="Helvetica" w:cs="Arial"/>
          <w:color w:val="000000"/>
        </w:rPr>
        <w:t>7</w:t>
      </w:r>
      <w:r w:rsidR="006D24F8" w:rsidRPr="00B74549">
        <w:rPr>
          <w:rFonts w:ascii="Helvetica" w:hAnsi="Helvetica" w:cs="Arial"/>
          <w:color w:val="000000"/>
        </w:rPr>
        <w:t>1</w:t>
      </w:r>
      <w:r w:rsidR="000B3549" w:rsidRPr="00B74549">
        <w:rPr>
          <w:rFonts w:ascii="Helvetica" w:hAnsi="Helvetica" w:cs="Arial"/>
          <w:color w:val="000000"/>
        </w:rPr>
        <w:t>5</w:t>
      </w:r>
      <w:r w:rsidRPr="00B74549">
        <w:rPr>
          <w:rFonts w:ascii="Helvetica" w:hAnsi="Helvetica" w:cs="Arial"/>
          <w:color w:val="000000"/>
        </w:rPr>
        <w:t>]</w:t>
      </w:r>
    </w:p>
    <w:p w:rsidR="00DF6083" w:rsidRPr="00B74549" w:rsidRDefault="00DF6083" w:rsidP="00B74549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B74549">
        <w:rPr>
          <w:rFonts w:ascii="Helvetica" w:hAnsi="Helvetica" w:cs="Arial"/>
          <w:i/>
          <w:iCs/>
          <w:sz w:val="22"/>
          <w:szCs w:val="22"/>
        </w:rPr>
        <w:t>DESARROLLO ECONOMICO - REVISTA DE CIENCIAS SOCIALES</w:t>
      </w:r>
      <w:r w:rsidRPr="00B74549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B74549">
        <w:rPr>
          <w:rFonts w:ascii="Helvetica" w:hAnsi="Helvetica" w:cs="Arial"/>
          <w:sz w:val="22"/>
          <w:szCs w:val="22"/>
        </w:rPr>
        <w:t>7</w:t>
      </w:r>
      <w:r w:rsidRPr="00B74549">
        <w:rPr>
          <w:rFonts w:ascii="Helvetica" w:hAnsi="Helvetica" w:cs="Arial"/>
          <w:sz w:val="22"/>
          <w:szCs w:val="22"/>
        </w:rPr>
        <w:t>, Nº 2</w:t>
      </w:r>
      <w:r w:rsidR="00005B98" w:rsidRPr="00B74549">
        <w:rPr>
          <w:rFonts w:ascii="Helvetica" w:hAnsi="Helvetica" w:cs="Arial"/>
          <w:sz w:val="22"/>
          <w:szCs w:val="22"/>
        </w:rPr>
        <w:t>2</w:t>
      </w:r>
      <w:r w:rsidR="0057703D" w:rsidRPr="00B74549">
        <w:rPr>
          <w:rFonts w:ascii="Helvetica" w:hAnsi="Helvetica" w:cs="Arial"/>
          <w:sz w:val="22"/>
          <w:szCs w:val="22"/>
        </w:rPr>
        <w:t>2</w:t>
      </w:r>
      <w:r w:rsidRPr="00B74549">
        <w:rPr>
          <w:rFonts w:ascii="Helvetica" w:hAnsi="Helvetica" w:cs="Arial"/>
          <w:sz w:val="22"/>
          <w:szCs w:val="22"/>
        </w:rPr>
        <w:t xml:space="preserve">, </w:t>
      </w:r>
      <w:r w:rsidR="0057703D" w:rsidRPr="00B74549">
        <w:rPr>
          <w:rFonts w:ascii="Helvetica" w:hAnsi="Helvetica" w:cs="Arial"/>
          <w:sz w:val="22"/>
          <w:szCs w:val="22"/>
        </w:rPr>
        <w:t>septiembre-diciembre</w:t>
      </w:r>
      <w:r w:rsidRPr="00B74549">
        <w:rPr>
          <w:rFonts w:ascii="Helvetica" w:hAnsi="Helvetica" w:cs="Arial"/>
          <w:sz w:val="22"/>
          <w:szCs w:val="22"/>
        </w:rPr>
        <w:t xml:space="preserve"> 201</w:t>
      </w:r>
      <w:r w:rsidR="00005B98" w:rsidRPr="00B74549">
        <w:rPr>
          <w:rFonts w:ascii="Helvetica" w:hAnsi="Helvetica" w:cs="Arial"/>
          <w:sz w:val="22"/>
          <w:szCs w:val="22"/>
        </w:rPr>
        <w:t>7</w:t>
      </w:r>
      <w:r w:rsidRPr="00B74549">
        <w:rPr>
          <w:rFonts w:ascii="Helvetica" w:hAnsi="Helvetica" w:cs="Arial"/>
          <w:sz w:val="22"/>
          <w:szCs w:val="22"/>
        </w:rPr>
        <w:t xml:space="preserve"> (pp. </w:t>
      </w:r>
      <w:r w:rsidR="000B3549" w:rsidRPr="00B74549">
        <w:rPr>
          <w:rFonts w:ascii="Helvetica" w:hAnsi="Helvetica" w:cs="Arial"/>
          <w:sz w:val="22"/>
          <w:szCs w:val="22"/>
        </w:rPr>
        <w:t>253-276</w:t>
      </w:r>
      <w:r w:rsidRPr="00B74549">
        <w:rPr>
          <w:rFonts w:ascii="Helvetica" w:hAnsi="Helvetica" w:cs="Arial"/>
          <w:sz w:val="22"/>
          <w:szCs w:val="22"/>
        </w:rPr>
        <w:t>).</w:t>
      </w:r>
    </w:p>
    <w:p w:rsidR="00DF6083" w:rsidRPr="00B74549" w:rsidRDefault="00DF6083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B74549" w:rsidRDefault="00D7372B" w:rsidP="00B74549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B74549">
        <w:rPr>
          <w:rFonts w:ascii="Helvetica" w:hAnsi="Helvetica"/>
          <w:b/>
          <w:sz w:val="22"/>
          <w:szCs w:val="22"/>
        </w:rPr>
        <w:t>Descriptores:</w:t>
      </w:r>
    </w:p>
    <w:p w:rsidR="00B74549" w:rsidRPr="00B74549" w:rsidRDefault="006D24F8" w:rsidP="00B74549">
      <w:pPr>
        <w:pStyle w:val="Default"/>
        <w:jc w:val="both"/>
        <w:rPr>
          <w:rFonts w:ascii="Helvetica" w:hAnsi="Helvetica"/>
          <w:sz w:val="22"/>
          <w:szCs w:val="22"/>
        </w:rPr>
      </w:pPr>
      <w:r w:rsidRPr="00B74549">
        <w:rPr>
          <w:rFonts w:ascii="Helvetica" w:hAnsi="Helvetica"/>
          <w:color w:val="221E1F"/>
          <w:sz w:val="22"/>
          <w:szCs w:val="22"/>
        </w:rPr>
        <w:t xml:space="preserve">Palabras clave: </w:t>
      </w:r>
      <w:r w:rsidR="00B74549" w:rsidRPr="00B74549">
        <w:rPr>
          <w:rFonts w:ascii="Helvetica" w:hAnsi="Helvetica"/>
          <w:color w:val="221E1F"/>
          <w:sz w:val="22"/>
          <w:szCs w:val="22"/>
        </w:rPr>
        <w:t>&lt;América del Su</w:t>
      </w:r>
      <w:bookmarkStart w:id="0" w:name="_GoBack"/>
      <w:bookmarkEnd w:id="0"/>
      <w:r w:rsidR="00B74549" w:rsidRPr="00B74549">
        <w:rPr>
          <w:rFonts w:ascii="Helvetica" w:hAnsi="Helvetica"/>
          <w:color w:val="221E1F"/>
          <w:sz w:val="22"/>
          <w:szCs w:val="22"/>
        </w:rPr>
        <w:t>r&gt; &lt;Brasil&gt; &lt;Balance de poder&gt; &lt;Unipolaridad&gt;</w:t>
      </w:r>
      <w:r w:rsidR="00B74549" w:rsidRPr="00B74549">
        <w:rPr>
          <w:rFonts w:ascii="Helvetica" w:hAnsi="Helvetica"/>
          <w:color w:val="221E1F"/>
          <w:sz w:val="22"/>
          <w:szCs w:val="22"/>
        </w:rPr>
        <w:t xml:space="preserve"> &lt;Política comparada&gt;</w:t>
      </w:r>
      <w:r w:rsidR="00B74549" w:rsidRPr="00B74549">
        <w:rPr>
          <w:rFonts w:ascii="Helvetica" w:hAnsi="Helvetica"/>
          <w:color w:val="221E1F"/>
          <w:sz w:val="22"/>
          <w:szCs w:val="22"/>
        </w:rPr>
        <w:t>.</w:t>
      </w:r>
      <w:r w:rsidR="00B74549" w:rsidRPr="00B74549">
        <w:rPr>
          <w:rFonts w:ascii="Helvetica" w:hAnsi="Helvetica" w:cstheme="minorBidi"/>
          <w:color w:val="221E1F"/>
          <w:sz w:val="22"/>
          <w:szCs w:val="22"/>
        </w:rPr>
        <w:t xml:space="preserve"> </w:t>
      </w:r>
    </w:p>
    <w:p w:rsidR="00187D28" w:rsidRPr="00B74549" w:rsidRDefault="00187D28" w:rsidP="00B74549">
      <w:pPr>
        <w:pStyle w:val="Default"/>
        <w:jc w:val="both"/>
        <w:rPr>
          <w:rFonts w:ascii="Helvetica" w:hAnsi="Helvetica"/>
          <w:b/>
          <w:sz w:val="22"/>
          <w:szCs w:val="22"/>
        </w:rPr>
      </w:pPr>
    </w:p>
    <w:p w:rsidR="00D7372B" w:rsidRPr="00B74549" w:rsidRDefault="00D7372B" w:rsidP="00B74549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B74549">
        <w:rPr>
          <w:rFonts w:ascii="Helvetica" w:hAnsi="Helvetica"/>
          <w:b/>
          <w:sz w:val="22"/>
          <w:szCs w:val="22"/>
        </w:rPr>
        <w:t>RESUMEN</w:t>
      </w:r>
    </w:p>
    <w:p w:rsidR="00187D28" w:rsidRPr="00B74549" w:rsidRDefault="000B3549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iCs/>
          <w:color w:val="221E1F"/>
        </w:rPr>
      </w:pPr>
      <w:r w:rsidRPr="00B74549">
        <w:rPr>
          <w:rFonts w:ascii="Helvetica" w:hAnsi="Helvetica"/>
          <w:iCs/>
          <w:color w:val="221E1F"/>
        </w:rPr>
        <w:t>En los últimos cincuenta años, la parti</w:t>
      </w:r>
      <w:r w:rsidRPr="00B74549">
        <w:rPr>
          <w:rFonts w:ascii="Helvetica" w:hAnsi="Helvetica" w:cs="Helvetica Light"/>
          <w:iCs/>
          <w:color w:val="221E1F"/>
        </w:rPr>
        <w:t>cipación de Brasil en el total de capacidades materiales de América del Sur ha aumentado de un tercio a la mitad de las mismas. Semejante cambio en la estructura de poder regional no puede haber pasado desapercibido para los vecinos de Brasil. En este artículo intento resolver el puzle princi</w:t>
      </w:r>
      <w:r w:rsidR="00B74549" w:rsidRPr="00B74549">
        <w:rPr>
          <w:rFonts w:ascii="Helvetica" w:hAnsi="Helvetica" w:cs="Helvetica Light"/>
          <w:iCs/>
          <w:color w:val="221E1F"/>
        </w:rPr>
        <w:t>pal de la unipolaridad sudameri</w:t>
      </w:r>
      <w:r w:rsidRPr="00B74549">
        <w:rPr>
          <w:rFonts w:ascii="Helvetica" w:hAnsi="Helvetica" w:cs="Helvetica Light"/>
          <w:iCs/>
          <w:color w:val="221E1F"/>
        </w:rPr>
        <w:t xml:space="preserve">cana: ¿por qué la mayoría de los países de la región no ha aplicado estrategias consistentes de </w:t>
      </w:r>
      <w:proofErr w:type="spellStart"/>
      <w:r w:rsidRPr="00B74549">
        <w:rPr>
          <w:rFonts w:ascii="Helvetica" w:hAnsi="Helvetica" w:cs="Helvetica Light"/>
          <w:i/>
          <w:color w:val="221E1F"/>
        </w:rPr>
        <w:t>balancing</w:t>
      </w:r>
      <w:proofErr w:type="spellEnd"/>
      <w:r w:rsidRPr="00B74549">
        <w:rPr>
          <w:rFonts w:ascii="Helvetica" w:hAnsi="Helvetica" w:cs="Helvetica Light"/>
          <w:color w:val="221E1F"/>
        </w:rPr>
        <w:t xml:space="preserve"> </w:t>
      </w:r>
      <w:r w:rsidRPr="00B74549">
        <w:rPr>
          <w:rFonts w:ascii="Helvetica" w:hAnsi="Helvetica" w:cs="Helvetica Light"/>
          <w:iCs/>
          <w:color w:val="221E1F"/>
        </w:rPr>
        <w:t xml:space="preserve">o </w:t>
      </w:r>
      <w:proofErr w:type="spellStart"/>
      <w:r w:rsidRPr="00B74549">
        <w:rPr>
          <w:rFonts w:ascii="Helvetica" w:hAnsi="Helvetica" w:cs="Helvetica Light"/>
          <w:i/>
          <w:color w:val="221E1F"/>
        </w:rPr>
        <w:t>bandwagoning</w:t>
      </w:r>
      <w:proofErr w:type="spellEnd"/>
      <w:r w:rsidRPr="00B74549">
        <w:rPr>
          <w:rFonts w:ascii="Helvetica" w:hAnsi="Helvetica" w:cs="Helvetica Light"/>
          <w:color w:val="221E1F"/>
        </w:rPr>
        <w:t xml:space="preserve"> </w:t>
      </w:r>
      <w:r w:rsidRPr="00B74549">
        <w:rPr>
          <w:rFonts w:ascii="Helvetica" w:hAnsi="Helvetica" w:cs="Helvetica Light"/>
          <w:iCs/>
          <w:color w:val="221E1F"/>
        </w:rPr>
        <w:t>frente a Brasil?</w:t>
      </w:r>
    </w:p>
    <w:p w:rsidR="000B3549" w:rsidRPr="00B74549" w:rsidRDefault="000B3549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  <w:r w:rsidRPr="00B74549">
        <w:rPr>
          <w:rFonts w:ascii="Helvetica" w:hAnsi="Helvetica"/>
          <w:iCs/>
          <w:color w:val="221E1F"/>
        </w:rPr>
        <w:t xml:space="preserve">Basándome en algunas intuiciones del realismo neoclásico, propongo que ciertas variables internas (la inestabilidad de gobierno, la baja </w:t>
      </w:r>
      <w:r w:rsidRPr="00B74549">
        <w:rPr>
          <w:rFonts w:ascii="Helvetica" w:hAnsi="Helvetica" w:cs="Helvetica Light"/>
          <w:iCs/>
          <w:color w:val="221E1F"/>
        </w:rPr>
        <w:t xml:space="preserve">institucionalización del sistema de partidos y presidentes </w:t>
      </w:r>
      <w:proofErr w:type="spellStart"/>
      <w:r w:rsidRPr="00B74549">
        <w:rPr>
          <w:rFonts w:ascii="Helvetica" w:hAnsi="Helvetica" w:cs="Helvetica Light"/>
          <w:iCs/>
          <w:color w:val="221E1F"/>
        </w:rPr>
        <w:t>delegativos</w:t>
      </w:r>
      <w:proofErr w:type="spellEnd"/>
      <w:r w:rsidRPr="00B74549">
        <w:rPr>
          <w:rFonts w:ascii="Helvetica" w:hAnsi="Helvetica" w:cs="Helvetica Light"/>
          <w:iCs/>
          <w:color w:val="221E1F"/>
        </w:rPr>
        <w:t>) han desv</w:t>
      </w:r>
      <w:r w:rsidR="00B74549" w:rsidRPr="00B74549">
        <w:rPr>
          <w:rFonts w:ascii="Helvetica" w:hAnsi="Helvetica" w:cs="Helvetica Light"/>
          <w:iCs/>
          <w:color w:val="221E1F"/>
        </w:rPr>
        <w:t>iado la aten</w:t>
      </w:r>
      <w:r w:rsidRPr="00B74549">
        <w:rPr>
          <w:rFonts w:ascii="Helvetica" w:hAnsi="Helvetica" w:cs="Helvetica Light"/>
          <w:iCs/>
          <w:color w:val="221E1F"/>
        </w:rPr>
        <w:t>ción de las elites políticas y poderes ejecutivos de los desafíos generados por el crecimiento de Brasil. Un análisis comparativo cualitativo de conjuntos nítidos (</w:t>
      </w:r>
      <w:proofErr w:type="spellStart"/>
      <w:r w:rsidRPr="00B74549">
        <w:rPr>
          <w:rFonts w:ascii="Helvetica" w:hAnsi="Helvetica" w:cs="Helvetica Light"/>
          <w:iCs/>
          <w:color w:val="221E1F"/>
        </w:rPr>
        <w:t>csQCA</w:t>
      </w:r>
      <w:proofErr w:type="spellEnd"/>
      <w:r w:rsidRPr="00B74549">
        <w:rPr>
          <w:rFonts w:ascii="Helvetica" w:hAnsi="Helvetica" w:cs="Helvetica Light"/>
          <w:iCs/>
          <w:color w:val="221E1F"/>
        </w:rPr>
        <w:t>) compara esta hipótesis y otras explicaciones alternativas para el desequilibrio regional.</w:t>
      </w:r>
    </w:p>
    <w:p w:rsidR="000B3549" w:rsidRPr="00B74549" w:rsidRDefault="000B3549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</w:p>
    <w:p w:rsidR="0057703D" w:rsidRPr="0057703D" w:rsidRDefault="0057703D" w:rsidP="00B745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B74549">
        <w:rPr>
          <w:rFonts w:ascii="Helvetica" w:hAnsi="Helvetica" w:cs="Helvetica Light"/>
          <w:b/>
          <w:color w:val="000000"/>
        </w:rPr>
        <w:t>SUMMARY</w:t>
      </w:r>
    </w:p>
    <w:p w:rsidR="00D7372B" w:rsidRPr="00B74549" w:rsidRDefault="000B3549" w:rsidP="00B74549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Within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last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fifty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years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Brazilian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r w:rsidRPr="00B74549">
        <w:rPr>
          <w:rFonts w:ascii="Helvetica" w:hAnsi="Helvetica"/>
          <w:iCs/>
          <w:color w:val="221E1F"/>
          <w:sz w:val="22"/>
          <w:szCs w:val="22"/>
        </w:rPr>
        <w:t xml:space="preserve">share of South American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power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has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increased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from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one</w:t>
      </w:r>
      <w:r w:rsidRPr="00B74549">
        <w:rPr>
          <w:rFonts w:ascii="Cambria Math" w:hAnsi="Cambria Math" w:cs="Cambria Math"/>
          <w:iCs/>
          <w:color w:val="221E1F"/>
          <w:sz w:val="22"/>
          <w:szCs w:val="22"/>
        </w:rPr>
        <w:t>‐</w:t>
      </w:r>
      <w:r w:rsidRPr="00B74549">
        <w:rPr>
          <w:rFonts w:ascii="Helvetica" w:hAnsi="Helvetica"/>
          <w:iCs/>
          <w:color w:val="221E1F"/>
          <w:sz w:val="22"/>
          <w:szCs w:val="22"/>
        </w:rPr>
        <w:t>third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one</w:t>
      </w:r>
      <w:r w:rsidRPr="00B74549">
        <w:rPr>
          <w:rFonts w:ascii="Cambria Math" w:hAnsi="Cambria Math" w:cs="Cambria Math"/>
          <w:iCs/>
          <w:color w:val="221E1F"/>
          <w:sz w:val="22"/>
          <w:szCs w:val="22"/>
        </w:rPr>
        <w:t>‐</w:t>
      </w:r>
      <w:r w:rsidRPr="00B74549">
        <w:rPr>
          <w:rFonts w:ascii="Helvetica" w:hAnsi="Helvetica"/>
          <w:iCs/>
          <w:color w:val="221E1F"/>
          <w:sz w:val="22"/>
          <w:szCs w:val="22"/>
        </w:rPr>
        <w:t>half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overall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material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capabilities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region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significant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change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regional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power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structure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cannot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have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gone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unnoticed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Brazil’s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neighbors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. In </w:t>
      </w:r>
      <w:proofErr w:type="spellStart"/>
      <w:proofErr w:type="gramStart"/>
      <w:r w:rsidRPr="00B74549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proofErr w:type="gram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article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I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address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main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puzzle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of South American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unipolarity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: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Why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have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most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countries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region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not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implemented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any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consistent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balancing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or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bandwagoning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strategies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r w:rsidRPr="00B74549">
        <w:rPr>
          <w:rFonts w:ascii="Helvetica" w:hAnsi="Helvetica"/>
          <w:i/>
          <w:iCs/>
          <w:color w:val="221E1F"/>
          <w:sz w:val="22"/>
          <w:szCs w:val="22"/>
        </w:rPr>
        <w:t>vis</w:t>
      </w:r>
      <w:r w:rsidRPr="00B74549">
        <w:rPr>
          <w:rFonts w:ascii="Cambria Math" w:hAnsi="Cambria Math" w:cs="Cambria Math"/>
          <w:i/>
          <w:iCs/>
          <w:color w:val="221E1F"/>
          <w:sz w:val="22"/>
          <w:szCs w:val="22"/>
        </w:rPr>
        <w:t>‐</w:t>
      </w:r>
      <w:r w:rsidRPr="00B74549">
        <w:rPr>
          <w:rFonts w:ascii="Helvetica" w:hAnsi="Helvetica" w:cs="Arial"/>
          <w:i/>
          <w:iCs/>
          <w:color w:val="221E1F"/>
          <w:sz w:val="22"/>
          <w:szCs w:val="22"/>
        </w:rPr>
        <w:t>à</w:t>
      </w:r>
      <w:r w:rsidRPr="00B74549">
        <w:rPr>
          <w:rFonts w:ascii="Cambria Math" w:hAnsi="Cambria Math" w:cs="Cambria Math"/>
          <w:i/>
          <w:iCs/>
          <w:color w:val="221E1F"/>
          <w:sz w:val="22"/>
          <w:szCs w:val="22"/>
        </w:rPr>
        <w:t>‐</w:t>
      </w:r>
      <w:r w:rsidRPr="00B74549">
        <w:rPr>
          <w:rFonts w:ascii="Helvetica" w:hAnsi="Helvetica"/>
          <w:i/>
          <w:iCs/>
          <w:color w:val="221E1F"/>
          <w:sz w:val="22"/>
          <w:szCs w:val="22"/>
        </w:rPr>
        <w:t>vis</w:t>
      </w:r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Brazil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?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Drawing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on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neoclassica</w:t>
      </w:r>
      <w:r w:rsidR="00B74549" w:rsidRPr="00B74549">
        <w:rPr>
          <w:rFonts w:ascii="Helvetica" w:hAnsi="Helvetica" w:cstheme="minorBidi"/>
          <w:iCs/>
          <w:color w:val="221E1F"/>
          <w:sz w:val="22"/>
          <w:szCs w:val="22"/>
        </w:rPr>
        <w:t>l</w:t>
      </w:r>
      <w:proofErr w:type="spellEnd"/>
      <w:r w:rsidR="00B74549"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B74549" w:rsidRPr="00B74549">
        <w:rPr>
          <w:rFonts w:ascii="Helvetica" w:hAnsi="Helvetica" w:cstheme="minorBidi"/>
          <w:iCs/>
          <w:color w:val="221E1F"/>
          <w:sz w:val="22"/>
          <w:szCs w:val="22"/>
        </w:rPr>
        <w:t>realism</w:t>
      </w:r>
      <w:proofErr w:type="spellEnd"/>
      <w:r w:rsidR="00B74549"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, I </w:t>
      </w:r>
      <w:proofErr w:type="spellStart"/>
      <w:r w:rsidR="00B74549" w:rsidRPr="00B74549">
        <w:rPr>
          <w:rFonts w:ascii="Helvetica" w:hAnsi="Helvetica" w:cstheme="minorBidi"/>
          <w:iCs/>
          <w:color w:val="221E1F"/>
          <w:sz w:val="22"/>
          <w:szCs w:val="22"/>
        </w:rPr>
        <w:t>propo</w:t>
      </w:r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se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that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certain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domestic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variables –</w:t>
      </w:r>
      <w:proofErr w:type="spellStart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>government</w:t>
      </w:r>
      <w:proofErr w:type="spellEnd"/>
      <w:r w:rsidRPr="00B7454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instability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low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party-system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institutionalization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powerful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presidents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–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have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diverted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attention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elites and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foreign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policy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executives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from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challenges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generated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rising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Brazil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Crisp</w:t>
      </w:r>
      <w:proofErr w:type="spellEnd"/>
      <w:r w:rsidRPr="00B74549">
        <w:rPr>
          <w:rFonts w:ascii="Cambria Math" w:hAnsi="Cambria Math" w:cs="Cambria Math"/>
          <w:iCs/>
          <w:color w:val="221E1F"/>
          <w:sz w:val="22"/>
          <w:szCs w:val="22"/>
        </w:rPr>
        <w:t>‐</w:t>
      </w:r>
      <w:r w:rsidRPr="00B74549">
        <w:rPr>
          <w:rFonts w:ascii="Helvetica" w:hAnsi="Helvetica"/>
          <w:iCs/>
          <w:color w:val="221E1F"/>
          <w:sz w:val="22"/>
          <w:szCs w:val="22"/>
        </w:rPr>
        <w:t xml:space="preserve">set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qualitative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comparative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analysis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(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csQCA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)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used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test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hypothesis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other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alternative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explanations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 xml:space="preserve"> regional </w:t>
      </w:r>
      <w:proofErr w:type="spellStart"/>
      <w:r w:rsidRPr="00B74549">
        <w:rPr>
          <w:rFonts w:ascii="Helvetica" w:hAnsi="Helvetica"/>
          <w:iCs/>
          <w:color w:val="221E1F"/>
          <w:sz w:val="22"/>
          <w:szCs w:val="22"/>
        </w:rPr>
        <w:t>imbalance</w:t>
      </w:r>
      <w:proofErr w:type="spellEnd"/>
      <w:r w:rsidRPr="00B74549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D7372B" w:rsidRPr="00B74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32D8D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2243F"/>
    <w:rsid w:val="00535AB7"/>
    <w:rsid w:val="00556AC4"/>
    <w:rsid w:val="0057703D"/>
    <w:rsid w:val="005A656B"/>
    <w:rsid w:val="005B5E92"/>
    <w:rsid w:val="005B6CD0"/>
    <w:rsid w:val="005D61C7"/>
    <w:rsid w:val="00612D9C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06481"/>
    <w:rsid w:val="0091371B"/>
    <w:rsid w:val="00915BB3"/>
    <w:rsid w:val="00933CC0"/>
    <w:rsid w:val="009618CF"/>
    <w:rsid w:val="00966888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70470"/>
    <w:rsid w:val="00D7372B"/>
    <w:rsid w:val="00D82976"/>
    <w:rsid w:val="00D96CBE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926C5"/>
    <w:rsid w:val="00E97479"/>
    <w:rsid w:val="00EC5D07"/>
    <w:rsid w:val="00F06653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2018-04-10T19:47:00Z</dcterms:created>
  <dcterms:modified xsi:type="dcterms:W3CDTF">2018-04-10T20:00:00Z</dcterms:modified>
</cp:coreProperties>
</file>