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F8" w:rsidRPr="00432D8D" w:rsidRDefault="006D24F8" w:rsidP="006D24F8">
      <w:pPr>
        <w:spacing w:after="0"/>
        <w:jc w:val="both"/>
        <w:rPr>
          <w:rStyle w:val="A1"/>
          <w:rFonts w:ascii="Helvetica" w:hAnsi="Helvetica" w:cs="Helvetica Light"/>
          <w:sz w:val="22"/>
          <w:szCs w:val="22"/>
        </w:rPr>
      </w:pPr>
      <w:bookmarkStart w:id="0" w:name="_GoBack"/>
      <w:r w:rsidRPr="00432D8D">
        <w:rPr>
          <w:rStyle w:val="A1"/>
          <w:rFonts w:ascii="Helvetica" w:hAnsi="Helvetica" w:cs="Helvetica Light"/>
          <w:sz w:val="22"/>
          <w:szCs w:val="22"/>
        </w:rPr>
        <w:t>Conflictos distributivos en la agricultura de exportación en la Argentina reciente (2003-</w:t>
      </w:r>
      <w:bookmarkEnd w:id="0"/>
      <w:r w:rsidRPr="00432D8D">
        <w:rPr>
          <w:rStyle w:val="A1"/>
          <w:rFonts w:ascii="Helvetica" w:hAnsi="Helvetica" w:cs="Helvetica Light"/>
          <w:sz w:val="22"/>
          <w:szCs w:val="22"/>
        </w:rPr>
        <w:t>2015)</w:t>
      </w:r>
    </w:p>
    <w:p w:rsidR="006D24F8" w:rsidRPr="00432D8D" w:rsidRDefault="006D24F8" w:rsidP="006D24F8">
      <w:pPr>
        <w:spacing w:after="0"/>
        <w:jc w:val="both"/>
        <w:rPr>
          <w:rStyle w:val="A1"/>
          <w:rFonts w:ascii="Helvetica" w:hAnsi="Helvetica"/>
          <w:sz w:val="22"/>
          <w:szCs w:val="22"/>
        </w:rPr>
      </w:pPr>
    </w:p>
    <w:p w:rsidR="006D24F8" w:rsidRPr="00432D8D" w:rsidRDefault="006D24F8" w:rsidP="006D24F8">
      <w:pPr>
        <w:spacing w:after="0"/>
        <w:jc w:val="both"/>
        <w:rPr>
          <w:rFonts w:ascii="Helvetica" w:hAnsi="Helvetica" w:cs="Helvetica Light"/>
          <w:color w:val="000000"/>
        </w:rPr>
      </w:pPr>
      <w:r w:rsidRPr="00432D8D">
        <w:rPr>
          <w:rStyle w:val="A1"/>
          <w:rFonts w:ascii="Helvetica" w:hAnsi="Helvetica"/>
          <w:sz w:val="22"/>
          <w:szCs w:val="22"/>
        </w:rPr>
        <w:t xml:space="preserve">Carlos </w:t>
      </w:r>
      <w:proofErr w:type="spellStart"/>
      <w:r w:rsidRPr="00432D8D">
        <w:rPr>
          <w:rStyle w:val="A1"/>
          <w:rFonts w:ascii="Helvetica" w:hAnsi="Helvetica"/>
          <w:sz w:val="22"/>
          <w:szCs w:val="22"/>
        </w:rPr>
        <w:t>Freytes</w:t>
      </w:r>
      <w:proofErr w:type="spellEnd"/>
      <w:r w:rsidRPr="00432D8D">
        <w:rPr>
          <w:rStyle w:val="A1"/>
          <w:rFonts w:ascii="Helvetica" w:hAnsi="Helvetica"/>
          <w:sz w:val="22"/>
          <w:szCs w:val="22"/>
        </w:rPr>
        <w:t xml:space="preserve"> y Juan </w:t>
      </w:r>
      <w:proofErr w:type="spellStart"/>
      <w:r w:rsidRPr="00432D8D">
        <w:rPr>
          <w:rStyle w:val="A1"/>
          <w:rFonts w:ascii="Helvetica" w:hAnsi="Helvetica"/>
          <w:sz w:val="22"/>
          <w:szCs w:val="22"/>
        </w:rPr>
        <w:t>O’Farrell</w:t>
      </w:r>
      <w:proofErr w:type="spellEnd"/>
      <w:r w:rsidRPr="00432D8D">
        <w:rPr>
          <w:rStyle w:val="A1"/>
          <w:rFonts w:ascii="Helvetica" w:hAnsi="Helvetica"/>
          <w:sz w:val="22"/>
          <w:szCs w:val="22"/>
        </w:rPr>
        <w:t xml:space="preserve"> </w:t>
      </w:r>
    </w:p>
    <w:p w:rsidR="006D24F8" w:rsidRPr="006D24F8" w:rsidRDefault="006D24F8" w:rsidP="006D24F8">
      <w:pPr>
        <w:spacing w:after="0" w:line="240" w:lineRule="auto"/>
        <w:jc w:val="both"/>
        <w:rPr>
          <w:rFonts w:ascii="Helvetica" w:hAnsi="Helvetica" w:cs="Arial"/>
          <w:color w:val="231F20"/>
          <w:sz w:val="20"/>
          <w:szCs w:val="20"/>
        </w:rPr>
      </w:pPr>
    </w:p>
    <w:p w:rsidR="00AC02AC" w:rsidRPr="006D24F8" w:rsidRDefault="00DF6083" w:rsidP="006D24F8">
      <w:pPr>
        <w:spacing w:after="0" w:line="240" w:lineRule="auto"/>
        <w:jc w:val="both"/>
        <w:rPr>
          <w:rFonts w:ascii="Helvetica" w:hAnsi="Helvetica" w:cs="Arial"/>
          <w:color w:val="231F20"/>
          <w:sz w:val="20"/>
          <w:szCs w:val="20"/>
        </w:rPr>
      </w:pPr>
      <w:r w:rsidRPr="006D24F8">
        <w:rPr>
          <w:rFonts w:ascii="Helvetica" w:hAnsi="Helvetica" w:cs="Arial"/>
          <w:color w:val="231F20"/>
          <w:sz w:val="20"/>
          <w:szCs w:val="20"/>
        </w:rPr>
        <w:t>[</w:t>
      </w:r>
      <w:r w:rsidRPr="006D24F8">
        <w:rPr>
          <w:rFonts w:ascii="Helvetica" w:hAnsi="Helvetica" w:cs="Arial"/>
          <w:color w:val="000000"/>
          <w:sz w:val="20"/>
          <w:szCs w:val="20"/>
        </w:rPr>
        <w:t xml:space="preserve">ICTA </w:t>
      </w:r>
      <w:r w:rsidR="00BD262F" w:rsidRPr="006D24F8">
        <w:rPr>
          <w:rFonts w:ascii="Helvetica" w:hAnsi="Helvetica" w:cs="Arial"/>
          <w:color w:val="000000"/>
          <w:sz w:val="20"/>
          <w:szCs w:val="20"/>
        </w:rPr>
        <w:t>D</w:t>
      </w:r>
      <w:r w:rsidRPr="006D24F8">
        <w:rPr>
          <w:rFonts w:ascii="Helvetica" w:hAnsi="Helvetica" w:cs="Arial"/>
          <w:color w:val="000000"/>
          <w:sz w:val="20"/>
          <w:szCs w:val="20"/>
        </w:rPr>
        <w:t xml:space="preserve"> 1</w:t>
      </w:r>
      <w:r w:rsidR="00E05F54" w:rsidRPr="006D24F8">
        <w:rPr>
          <w:rFonts w:ascii="Helvetica" w:hAnsi="Helvetica" w:cs="Arial"/>
          <w:color w:val="000000"/>
          <w:sz w:val="20"/>
          <w:szCs w:val="20"/>
        </w:rPr>
        <w:t>7</w:t>
      </w:r>
      <w:r w:rsidR="006D24F8" w:rsidRPr="006D24F8">
        <w:rPr>
          <w:rFonts w:ascii="Helvetica" w:hAnsi="Helvetica" w:cs="Arial"/>
          <w:color w:val="000000"/>
          <w:sz w:val="20"/>
          <w:szCs w:val="20"/>
        </w:rPr>
        <w:t>12</w:t>
      </w:r>
      <w:r w:rsidRPr="006D24F8">
        <w:rPr>
          <w:rFonts w:ascii="Helvetica" w:hAnsi="Helvetica" w:cs="Arial"/>
          <w:color w:val="000000"/>
          <w:sz w:val="20"/>
          <w:szCs w:val="20"/>
        </w:rPr>
        <w:t>]</w:t>
      </w:r>
    </w:p>
    <w:p w:rsidR="00DF6083" w:rsidRPr="006D24F8" w:rsidRDefault="00DF6083" w:rsidP="006D24F8">
      <w:pPr>
        <w:pStyle w:val="Normal-paracolocar"/>
        <w:spacing w:line="240" w:lineRule="auto"/>
        <w:rPr>
          <w:rFonts w:ascii="Helvetica" w:hAnsi="Helvetica" w:cs="Arial"/>
          <w:sz w:val="20"/>
          <w:szCs w:val="20"/>
        </w:rPr>
      </w:pPr>
      <w:r w:rsidRPr="006D24F8">
        <w:rPr>
          <w:rFonts w:ascii="Helvetica" w:hAnsi="Helvetica" w:cs="Arial"/>
          <w:iCs/>
          <w:sz w:val="20"/>
          <w:szCs w:val="20"/>
        </w:rPr>
        <w:t>DESARROLLO ECONOMICO - REVISTA DE CIENCIAS SOCIALES</w:t>
      </w:r>
      <w:r w:rsidRPr="006D24F8">
        <w:rPr>
          <w:rFonts w:ascii="Helvetica" w:hAnsi="Helvetica" w:cs="Arial"/>
          <w:sz w:val="20"/>
          <w:szCs w:val="20"/>
        </w:rPr>
        <w:t xml:space="preserve"> (Buenos Aires), vol. 5</w:t>
      </w:r>
      <w:r w:rsidR="00E05F54" w:rsidRPr="006D24F8">
        <w:rPr>
          <w:rFonts w:ascii="Helvetica" w:hAnsi="Helvetica" w:cs="Arial"/>
          <w:sz w:val="20"/>
          <w:szCs w:val="20"/>
        </w:rPr>
        <w:t>7</w:t>
      </w:r>
      <w:r w:rsidRPr="006D24F8">
        <w:rPr>
          <w:rFonts w:ascii="Helvetica" w:hAnsi="Helvetica" w:cs="Arial"/>
          <w:sz w:val="20"/>
          <w:szCs w:val="20"/>
        </w:rPr>
        <w:t>, Nº 2</w:t>
      </w:r>
      <w:r w:rsidR="00005B98" w:rsidRPr="006D24F8">
        <w:rPr>
          <w:rFonts w:ascii="Helvetica" w:hAnsi="Helvetica" w:cs="Arial"/>
          <w:sz w:val="20"/>
          <w:szCs w:val="20"/>
        </w:rPr>
        <w:t>2</w:t>
      </w:r>
      <w:r w:rsidR="00E05F54" w:rsidRPr="006D24F8">
        <w:rPr>
          <w:rFonts w:ascii="Helvetica" w:hAnsi="Helvetica" w:cs="Arial"/>
          <w:sz w:val="20"/>
          <w:szCs w:val="20"/>
        </w:rPr>
        <w:t>1</w:t>
      </w:r>
      <w:r w:rsidRPr="006D24F8">
        <w:rPr>
          <w:rFonts w:ascii="Helvetica" w:hAnsi="Helvetica" w:cs="Arial"/>
          <w:sz w:val="20"/>
          <w:szCs w:val="20"/>
        </w:rPr>
        <w:t xml:space="preserve">, </w:t>
      </w:r>
      <w:r w:rsidR="00E05F54" w:rsidRPr="006D24F8">
        <w:rPr>
          <w:rFonts w:ascii="Helvetica" w:hAnsi="Helvetica" w:cs="Arial"/>
          <w:sz w:val="20"/>
          <w:szCs w:val="20"/>
        </w:rPr>
        <w:t>mayo-agosto</w:t>
      </w:r>
      <w:r w:rsidRPr="006D24F8">
        <w:rPr>
          <w:rFonts w:ascii="Helvetica" w:hAnsi="Helvetica" w:cs="Arial"/>
          <w:sz w:val="20"/>
          <w:szCs w:val="20"/>
        </w:rPr>
        <w:t xml:space="preserve"> 201</w:t>
      </w:r>
      <w:r w:rsidR="00005B98" w:rsidRPr="006D24F8">
        <w:rPr>
          <w:rFonts w:ascii="Helvetica" w:hAnsi="Helvetica" w:cs="Arial"/>
          <w:sz w:val="20"/>
          <w:szCs w:val="20"/>
        </w:rPr>
        <w:t>7</w:t>
      </w:r>
      <w:r w:rsidRPr="006D24F8">
        <w:rPr>
          <w:rFonts w:ascii="Helvetica" w:hAnsi="Helvetica" w:cs="Arial"/>
          <w:sz w:val="20"/>
          <w:szCs w:val="20"/>
        </w:rPr>
        <w:t xml:space="preserve"> (pp. </w:t>
      </w:r>
      <w:r w:rsidR="006D24F8" w:rsidRPr="006D24F8">
        <w:rPr>
          <w:rFonts w:ascii="Helvetica" w:hAnsi="Helvetica" w:cs="Arial"/>
          <w:sz w:val="20"/>
          <w:szCs w:val="20"/>
        </w:rPr>
        <w:t>181-196</w:t>
      </w:r>
      <w:r w:rsidRPr="006D24F8">
        <w:rPr>
          <w:rFonts w:ascii="Helvetica" w:hAnsi="Helvetica" w:cs="Arial"/>
          <w:sz w:val="20"/>
          <w:szCs w:val="20"/>
        </w:rPr>
        <w:t>).</w:t>
      </w:r>
    </w:p>
    <w:p w:rsidR="00DF6083" w:rsidRPr="006D24F8" w:rsidRDefault="00DF6083" w:rsidP="006D24F8">
      <w:pPr>
        <w:autoSpaceDE w:val="0"/>
        <w:autoSpaceDN w:val="0"/>
        <w:adjustRightInd w:val="0"/>
        <w:spacing w:after="0" w:line="240" w:lineRule="auto"/>
        <w:jc w:val="both"/>
        <w:rPr>
          <w:rFonts w:ascii="Helvetica" w:hAnsi="Helvetica" w:cs="Arial"/>
          <w:sz w:val="20"/>
          <w:szCs w:val="20"/>
        </w:rPr>
      </w:pPr>
    </w:p>
    <w:p w:rsidR="00704373" w:rsidRPr="006D24F8" w:rsidRDefault="00D7372B" w:rsidP="006D24F8">
      <w:pPr>
        <w:pStyle w:val="Default"/>
        <w:jc w:val="both"/>
        <w:rPr>
          <w:rFonts w:ascii="Helvetica" w:hAnsi="Helvetica"/>
          <w:b/>
          <w:sz w:val="20"/>
          <w:szCs w:val="20"/>
        </w:rPr>
      </w:pPr>
      <w:r w:rsidRPr="006D24F8">
        <w:rPr>
          <w:rFonts w:ascii="Helvetica" w:hAnsi="Helvetica"/>
          <w:b/>
          <w:sz w:val="20"/>
          <w:szCs w:val="20"/>
        </w:rPr>
        <w:t>Descriptores:</w:t>
      </w:r>
    </w:p>
    <w:p w:rsidR="006D24F8" w:rsidRPr="006D24F8" w:rsidRDefault="006D24F8" w:rsidP="006D24F8">
      <w:pPr>
        <w:autoSpaceDE w:val="0"/>
        <w:autoSpaceDN w:val="0"/>
        <w:adjustRightInd w:val="0"/>
        <w:spacing w:after="0" w:line="240" w:lineRule="auto"/>
        <w:jc w:val="both"/>
        <w:rPr>
          <w:rFonts w:ascii="Helvetica" w:hAnsi="Helvetica" w:cs="Helvetica Light"/>
          <w:color w:val="000000"/>
          <w:sz w:val="20"/>
          <w:szCs w:val="20"/>
        </w:rPr>
      </w:pPr>
    </w:p>
    <w:p w:rsidR="006D24F8" w:rsidRPr="006D24F8" w:rsidRDefault="006D24F8" w:rsidP="006D24F8">
      <w:pPr>
        <w:autoSpaceDE w:val="0"/>
        <w:autoSpaceDN w:val="0"/>
        <w:adjustRightInd w:val="0"/>
        <w:spacing w:after="0" w:line="151" w:lineRule="atLeast"/>
        <w:ind w:left="220" w:right="220"/>
        <w:jc w:val="both"/>
        <w:rPr>
          <w:rFonts w:ascii="Helvetica" w:hAnsi="Helvetica"/>
          <w:color w:val="000000"/>
          <w:sz w:val="20"/>
          <w:szCs w:val="20"/>
        </w:rPr>
      </w:pPr>
      <w:r w:rsidRPr="006D24F8">
        <w:rPr>
          <w:rFonts w:ascii="Helvetica" w:hAnsi="Helvetica"/>
          <w:color w:val="221E1F"/>
          <w:sz w:val="20"/>
          <w:szCs w:val="20"/>
        </w:rPr>
        <w:t>Palabras clave: &lt;Argentina&gt; &lt;Acción política empresaria&gt; &lt;</w:t>
      </w:r>
      <w:proofErr w:type="spellStart"/>
      <w:r w:rsidRPr="006D24F8">
        <w:rPr>
          <w:rFonts w:ascii="Helvetica" w:hAnsi="Helvetica"/>
          <w:color w:val="221E1F"/>
          <w:sz w:val="20"/>
          <w:szCs w:val="20"/>
        </w:rPr>
        <w:t>Agronegocio</w:t>
      </w:r>
      <w:proofErr w:type="spellEnd"/>
      <w:r w:rsidRPr="006D24F8">
        <w:rPr>
          <w:rFonts w:ascii="Helvetica" w:hAnsi="Helvetica"/>
          <w:color w:val="221E1F"/>
          <w:sz w:val="20"/>
          <w:szCs w:val="20"/>
        </w:rPr>
        <w:t xml:space="preserve">&gt; &lt;FPV&gt; &lt;Renta agrícola&gt; </w:t>
      </w:r>
    </w:p>
    <w:p w:rsidR="006D24F8" w:rsidRPr="006D24F8" w:rsidRDefault="006D24F8" w:rsidP="006D24F8">
      <w:pPr>
        <w:pStyle w:val="Default"/>
        <w:jc w:val="both"/>
        <w:rPr>
          <w:rFonts w:ascii="Helvetica" w:hAnsi="Helvetica" w:cstheme="minorBidi"/>
          <w:color w:val="221E1F"/>
          <w:sz w:val="20"/>
          <w:szCs w:val="20"/>
        </w:rPr>
      </w:pPr>
    </w:p>
    <w:p w:rsidR="001B0E50" w:rsidRPr="006D24F8" w:rsidRDefault="006D24F8" w:rsidP="006D24F8">
      <w:pPr>
        <w:pStyle w:val="Default"/>
        <w:jc w:val="both"/>
        <w:rPr>
          <w:rFonts w:ascii="Helvetica" w:hAnsi="Helvetica"/>
          <w:b/>
          <w:sz w:val="20"/>
          <w:szCs w:val="20"/>
        </w:rPr>
      </w:pPr>
      <w:r w:rsidRPr="006D24F8">
        <w:rPr>
          <w:rFonts w:ascii="Helvetica" w:hAnsi="Helvetica" w:cstheme="minorBidi"/>
          <w:color w:val="221E1F"/>
          <w:sz w:val="20"/>
          <w:szCs w:val="20"/>
        </w:rPr>
        <w:t>Clasificación JEL: Q180, Q130.</w:t>
      </w:r>
    </w:p>
    <w:p w:rsidR="006D24F8" w:rsidRPr="006D24F8" w:rsidRDefault="006D24F8" w:rsidP="006D24F8">
      <w:pPr>
        <w:pStyle w:val="Default"/>
        <w:jc w:val="both"/>
        <w:rPr>
          <w:rFonts w:ascii="Helvetica" w:hAnsi="Helvetica"/>
          <w:b/>
          <w:sz w:val="20"/>
          <w:szCs w:val="20"/>
        </w:rPr>
      </w:pPr>
    </w:p>
    <w:p w:rsidR="00D7372B" w:rsidRPr="006D24F8" w:rsidRDefault="00D7372B" w:rsidP="006D24F8">
      <w:pPr>
        <w:pStyle w:val="Default"/>
        <w:jc w:val="both"/>
        <w:rPr>
          <w:rFonts w:ascii="Helvetica" w:hAnsi="Helvetica"/>
          <w:b/>
          <w:sz w:val="20"/>
          <w:szCs w:val="20"/>
        </w:rPr>
      </w:pPr>
      <w:r w:rsidRPr="006D24F8">
        <w:rPr>
          <w:rFonts w:ascii="Helvetica" w:hAnsi="Helvetica"/>
          <w:b/>
          <w:sz w:val="20"/>
          <w:szCs w:val="20"/>
        </w:rPr>
        <w:t>RESUMEN</w:t>
      </w:r>
    </w:p>
    <w:p w:rsidR="00D7372B" w:rsidRPr="006D24F8" w:rsidRDefault="00D7372B" w:rsidP="006D24F8">
      <w:pPr>
        <w:autoSpaceDE w:val="0"/>
        <w:autoSpaceDN w:val="0"/>
        <w:adjustRightInd w:val="0"/>
        <w:spacing w:after="0" w:line="240" w:lineRule="auto"/>
        <w:jc w:val="both"/>
        <w:rPr>
          <w:rFonts w:ascii="Helvetica" w:hAnsi="Helvetica" w:cs="Helvetica Light"/>
          <w:color w:val="000000"/>
          <w:sz w:val="20"/>
          <w:szCs w:val="20"/>
        </w:rPr>
      </w:pPr>
    </w:p>
    <w:p w:rsidR="001B0E50" w:rsidRPr="006D24F8" w:rsidRDefault="006D24F8" w:rsidP="006D24F8">
      <w:pPr>
        <w:pStyle w:val="Default"/>
        <w:jc w:val="both"/>
        <w:rPr>
          <w:rFonts w:ascii="Helvetica" w:hAnsi="Helvetica"/>
          <w:sz w:val="20"/>
          <w:szCs w:val="20"/>
        </w:rPr>
      </w:pPr>
      <w:r w:rsidRPr="006D24F8">
        <w:rPr>
          <w:rFonts w:ascii="Helvetica" w:hAnsi="Helvetica" w:cstheme="minorBidi"/>
          <w:iCs/>
          <w:color w:val="221E1F"/>
          <w:sz w:val="20"/>
          <w:szCs w:val="20"/>
        </w:rPr>
        <w:t>El artículo problematiza la incongruencia entre poder estructural y poder instrumental del sector agroexportador en la Argentina. Para ha</w:t>
      </w:r>
      <w:r w:rsidRPr="006D24F8">
        <w:rPr>
          <w:rFonts w:ascii="Helvetica" w:hAnsi="Helvetica"/>
          <w:iCs/>
          <w:color w:val="221E1F"/>
          <w:sz w:val="20"/>
          <w:szCs w:val="20"/>
        </w:rPr>
        <w:t>cerlo, reconstruye los conflictos de intereses en el interior de la cadena de valor de la agricultura de exportación, que afectan la capacidad de acción colectiva por parte del sector. En segundo lugar, caracteriza el tipo de recursos políticos con que cuentan los distintos actores de la cadena. Estos movimientos permiten identificar una variedad de conflictos distributivos entre gobierno y actores económicos por la apropiación de la renta sectorial, y entender la racionalidad política que informó la resolución de esos conflictos durante el período 2003-2015. El argumento central es que la capacidad de los gobiernos del FPV de imponer una alta tasa de extracción al sector</w:t>
      </w:r>
      <w:r w:rsidRPr="006D24F8">
        <w:rPr>
          <w:rFonts w:ascii="Helvetica" w:hAnsi="Helvetica"/>
          <w:sz w:val="20"/>
          <w:szCs w:val="20"/>
        </w:rPr>
        <w:t xml:space="preserve"> </w:t>
      </w:r>
      <w:r w:rsidRPr="006D24F8">
        <w:rPr>
          <w:rFonts w:ascii="Helvetica" w:hAnsi="Helvetica" w:cstheme="minorBidi"/>
          <w:iCs/>
          <w:color w:val="221E1F"/>
          <w:sz w:val="20"/>
          <w:szCs w:val="20"/>
        </w:rPr>
        <w:t xml:space="preserve">agroexportador se explica por la debilidad de los productores agrícolas en la arena de la política partidaria y electoral y por los problemas de coordinación que el sector agroexportador enfrentaba en la arena de representación de </w:t>
      </w:r>
      <w:r w:rsidRPr="006D24F8">
        <w:rPr>
          <w:rFonts w:ascii="Helvetica" w:hAnsi="Helvetica"/>
          <w:iCs/>
          <w:color w:val="221E1F"/>
          <w:sz w:val="20"/>
          <w:szCs w:val="20"/>
        </w:rPr>
        <w:t>intereses. Previo al conflicto de 2008, la debilidad de los productores en la arena político partidaria fue suficiente para explicar los resultados de la política sectorial. Luego del conflicto, el gobierno se propuso desmovilizar al sector mediante una política de compensación selectiva y fragmentación del frente ruralista. La forma de hacerlo consistió en favorecer a los productores y a las asociaciones potencialmente afines al gobierno en los conflictos que los enfrentaban con otros actores de la cadena, sin alterar la tasa de extracción global impuesta al sector.</w:t>
      </w:r>
    </w:p>
    <w:p w:rsidR="006D24F8" w:rsidRPr="006D24F8" w:rsidRDefault="006D24F8" w:rsidP="006D24F8">
      <w:pPr>
        <w:pStyle w:val="Default"/>
        <w:jc w:val="both"/>
        <w:rPr>
          <w:rFonts w:ascii="Helvetica" w:hAnsi="Helvetica"/>
          <w:iCs/>
          <w:color w:val="221E1F"/>
          <w:sz w:val="20"/>
          <w:szCs w:val="20"/>
        </w:rPr>
      </w:pPr>
    </w:p>
    <w:p w:rsidR="00D7372B" w:rsidRPr="006D24F8" w:rsidRDefault="00D7372B" w:rsidP="006D24F8">
      <w:pPr>
        <w:pStyle w:val="Default"/>
        <w:jc w:val="both"/>
        <w:rPr>
          <w:rFonts w:ascii="Helvetica" w:hAnsi="Helvetica" w:cstheme="minorBidi"/>
          <w:b/>
          <w:iCs/>
          <w:color w:val="221E1F"/>
          <w:sz w:val="20"/>
          <w:szCs w:val="20"/>
        </w:rPr>
      </w:pPr>
      <w:r w:rsidRPr="006D24F8">
        <w:rPr>
          <w:rFonts w:ascii="Helvetica" w:hAnsi="Helvetica" w:cstheme="minorBidi"/>
          <w:b/>
          <w:iCs/>
          <w:color w:val="221E1F"/>
          <w:sz w:val="20"/>
          <w:szCs w:val="20"/>
        </w:rPr>
        <w:t>SUMMARY</w:t>
      </w:r>
    </w:p>
    <w:p w:rsidR="001B0E50" w:rsidRPr="001B0E50" w:rsidRDefault="001B0E50" w:rsidP="006D24F8">
      <w:pPr>
        <w:autoSpaceDE w:val="0"/>
        <w:autoSpaceDN w:val="0"/>
        <w:adjustRightInd w:val="0"/>
        <w:spacing w:after="0" w:line="240" w:lineRule="auto"/>
        <w:jc w:val="both"/>
        <w:rPr>
          <w:rFonts w:ascii="Helvetica" w:hAnsi="Helvetica" w:cs="Helvetica Light"/>
          <w:color w:val="000000"/>
          <w:sz w:val="20"/>
          <w:szCs w:val="20"/>
        </w:rPr>
      </w:pPr>
    </w:p>
    <w:p w:rsidR="00D7372B" w:rsidRPr="006D24F8" w:rsidRDefault="006D24F8" w:rsidP="006D24F8">
      <w:pPr>
        <w:pStyle w:val="Default"/>
        <w:jc w:val="both"/>
        <w:rPr>
          <w:rFonts w:ascii="Helvetica" w:hAnsi="Helvetica"/>
          <w:sz w:val="20"/>
          <w:szCs w:val="20"/>
        </w:rPr>
      </w:pPr>
      <w:proofErr w:type="spellStart"/>
      <w:r w:rsidRPr="006D24F8">
        <w:rPr>
          <w:rFonts w:ascii="Helvetica" w:hAnsi="Helvetica" w:cstheme="minorBidi"/>
          <w:iCs/>
          <w:color w:val="221E1F"/>
          <w:sz w:val="20"/>
          <w:szCs w:val="20"/>
        </w:rPr>
        <w:t>The</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article</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problematizes</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the</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incongruity</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between</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structural</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power</w:t>
      </w:r>
      <w:proofErr w:type="spellEnd"/>
      <w:r w:rsidRPr="006D24F8">
        <w:rPr>
          <w:rFonts w:ascii="Helvetica" w:hAnsi="Helvetica" w:cstheme="minorBidi"/>
          <w:iCs/>
          <w:color w:val="221E1F"/>
          <w:sz w:val="20"/>
          <w:szCs w:val="20"/>
        </w:rPr>
        <w:t xml:space="preserve"> and instrumental </w:t>
      </w:r>
      <w:proofErr w:type="spellStart"/>
      <w:r w:rsidRPr="006D24F8">
        <w:rPr>
          <w:rFonts w:ascii="Helvetica" w:hAnsi="Helvetica" w:cstheme="minorBidi"/>
          <w:iCs/>
          <w:color w:val="221E1F"/>
          <w:sz w:val="20"/>
          <w:szCs w:val="20"/>
        </w:rPr>
        <w:t>power</w:t>
      </w:r>
      <w:proofErr w:type="spellEnd"/>
      <w:r w:rsidRPr="006D24F8">
        <w:rPr>
          <w:rFonts w:ascii="Helvetica" w:hAnsi="Helvetica" w:cstheme="minorBidi"/>
          <w:iCs/>
          <w:color w:val="221E1F"/>
          <w:sz w:val="20"/>
          <w:szCs w:val="20"/>
        </w:rPr>
        <w:t xml:space="preserve"> of </w:t>
      </w:r>
      <w:proofErr w:type="spellStart"/>
      <w:r w:rsidRPr="006D24F8">
        <w:rPr>
          <w:rFonts w:ascii="Helvetica" w:hAnsi="Helvetica" w:cstheme="minorBidi"/>
          <w:iCs/>
          <w:color w:val="221E1F"/>
          <w:sz w:val="20"/>
          <w:szCs w:val="20"/>
        </w:rPr>
        <w:t>the</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agribusiness</w:t>
      </w:r>
      <w:proofErr w:type="spellEnd"/>
      <w:r w:rsidRPr="006D24F8">
        <w:rPr>
          <w:rFonts w:ascii="Helvetica" w:hAnsi="Helvetica" w:cstheme="minorBidi"/>
          <w:iCs/>
          <w:color w:val="221E1F"/>
          <w:sz w:val="20"/>
          <w:szCs w:val="20"/>
        </w:rPr>
        <w:t xml:space="preserve"> sector in Argentina. </w:t>
      </w:r>
      <w:proofErr w:type="spellStart"/>
      <w:r w:rsidRPr="006D24F8">
        <w:rPr>
          <w:rFonts w:ascii="Helvetica" w:hAnsi="Helvetica" w:cstheme="minorBidi"/>
          <w:iCs/>
          <w:color w:val="221E1F"/>
          <w:sz w:val="20"/>
          <w:szCs w:val="20"/>
        </w:rPr>
        <w:t>To</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that</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iCs/>
          <w:color w:val="221E1F"/>
          <w:sz w:val="20"/>
          <w:szCs w:val="20"/>
        </w:rPr>
        <w:t>end</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it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reconstructs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conflicts</w:t>
      </w:r>
      <w:proofErr w:type="spellEnd"/>
      <w:r w:rsidRPr="006D24F8">
        <w:rPr>
          <w:rFonts w:ascii="Helvetica" w:hAnsi="Helvetica"/>
          <w:iCs/>
          <w:color w:val="221E1F"/>
          <w:sz w:val="20"/>
          <w:szCs w:val="20"/>
        </w:rPr>
        <w:t xml:space="preserve"> of </w:t>
      </w:r>
      <w:proofErr w:type="spellStart"/>
      <w:r w:rsidRPr="006D24F8">
        <w:rPr>
          <w:rFonts w:ascii="Helvetica" w:hAnsi="Helvetica"/>
          <w:iCs/>
          <w:color w:val="221E1F"/>
          <w:sz w:val="20"/>
          <w:szCs w:val="20"/>
        </w:rPr>
        <w:t>interest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within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export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agriculture´s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value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chain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which</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affect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capacity</w:t>
      </w:r>
      <w:proofErr w:type="spellEnd"/>
      <w:r w:rsidRPr="006D24F8">
        <w:rPr>
          <w:rFonts w:ascii="Helvetica" w:hAnsi="Helvetica"/>
          <w:iCs/>
          <w:color w:val="221E1F"/>
          <w:sz w:val="20"/>
          <w:szCs w:val="20"/>
        </w:rPr>
        <w:t xml:space="preserve"> of </w:t>
      </w:r>
      <w:proofErr w:type="spellStart"/>
      <w:r w:rsidRPr="006D24F8">
        <w:rPr>
          <w:rFonts w:ascii="Helvetica" w:hAnsi="Helvetica"/>
          <w:iCs/>
          <w:color w:val="221E1F"/>
          <w:sz w:val="20"/>
          <w:szCs w:val="20"/>
        </w:rPr>
        <w:t>collective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action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by</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sector. </w:t>
      </w:r>
      <w:proofErr w:type="spellStart"/>
      <w:r w:rsidRPr="006D24F8">
        <w:rPr>
          <w:rFonts w:ascii="Helvetica" w:hAnsi="Helvetica"/>
          <w:iCs/>
          <w:color w:val="221E1F"/>
          <w:sz w:val="20"/>
          <w:szCs w:val="20"/>
        </w:rPr>
        <w:t>Second</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it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characterizes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what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political</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resources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command</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various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actors</w:t>
      </w:r>
      <w:proofErr w:type="spellEnd"/>
      <w:r w:rsidRPr="006D24F8">
        <w:rPr>
          <w:rFonts w:ascii="Helvetica" w:hAnsi="Helvetica"/>
          <w:iCs/>
          <w:color w:val="221E1F"/>
          <w:sz w:val="20"/>
          <w:szCs w:val="20"/>
        </w:rPr>
        <w:t xml:space="preserve"> in </w:t>
      </w:r>
      <w:proofErr w:type="spellStart"/>
      <w:r w:rsidRPr="006D24F8">
        <w:rPr>
          <w:rFonts w:ascii="Helvetica" w:hAnsi="Helvetica"/>
          <w:iCs/>
          <w:color w:val="221E1F"/>
          <w:sz w:val="20"/>
          <w:szCs w:val="20"/>
        </w:rPr>
        <w:t>that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chain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These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movements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allow</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identifying</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multiple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distributive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conflicts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among</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government</w:t>
      </w:r>
      <w:proofErr w:type="spellEnd"/>
      <w:r w:rsidRPr="006D24F8">
        <w:rPr>
          <w:rFonts w:ascii="Helvetica" w:hAnsi="Helvetica"/>
          <w:iCs/>
          <w:color w:val="221E1F"/>
          <w:sz w:val="20"/>
          <w:szCs w:val="20"/>
        </w:rPr>
        <w:t xml:space="preserve"> and </w:t>
      </w:r>
      <w:proofErr w:type="spellStart"/>
      <w:r w:rsidRPr="006D24F8">
        <w:rPr>
          <w:rFonts w:ascii="Helvetica" w:hAnsi="Helvetica"/>
          <w:iCs/>
          <w:color w:val="221E1F"/>
          <w:sz w:val="20"/>
          <w:szCs w:val="20"/>
        </w:rPr>
        <w:t>economic</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actors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for</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appropriation</w:t>
      </w:r>
      <w:proofErr w:type="spellEnd"/>
      <w:r w:rsidRPr="006D24F8">
        <w:rPr>
          <w:rFonts w:ascii="Helvetica" w:hAnsi="Helvetica"/>
          <w:iCs/>
          <w:color w:val="221E1F"/>
          <w:sz w:val="20"/>
          <w:szCs w:val="20"/>
        </w:rPr>
        <w:t xml:space="preserve"> of </w:t>
      </w:r>
      <w:proofErr w:type="spellStart"/>
      <w:r w:rsidRPr="006D24F8">
        <w:rPr>
          <w:rFonts w:ascii="Helvetica" w:hAnsi="Helvetica"/>
          <w:iCs/>
          <w:color w:val="221E1F"/>
          <w:sz w:val="20"/>
          <w:szCs w:val="20"/>
        </w:rPr>
        <w:t>sectoral</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rents</w:t>
      </w:r>
      <w:proofErr w:type="spellEnd"/>
      <w:r w:rsidRPr="006D24F8">
        <w:rPr>
          <w:rFonts w:ascii="Helvetica" w:hAnsi="Helvetica"/>
          <w:iCs/>
          <w:color w:val="221E1F"/>
          <w:sz w:val="20"/>
          <w:szCs w:val="20"/>
        </w:rPr>
        <w:t xml:space="preserve"> and </w:t>
      </w:r>
      <w:proofErr w:type="spellStart"/>
      <w:r w:rsidRPr="006D24F8">
        <w:rPr>
          <w:rFonts w:ascii="Helvetica" w:hAnsi="Helvetica"/>
          <w:iCs/>
          <w:color w:val="221E1F"/>
          <w:sz w:val="20"/>
          <w:szCs w:val="20"/>
        </w:rPr>
        <w:t>shed</w:t>
      </w:r>
      <w:proofErr w:type="spellEnd"/>
      <w:r w:rsidRPr="006D24F8">
        <w:rPr>
          <w:rFonts w:ascii="Helvetica" w:hAnsi="Helvetica"/>
          <w:iCs/>
          <w:color w:val="221E1F"/>
          <w:sz w:val="20"/>
          <w:szCs w:val="20"/>
        </w:rPr>
        <w:t xml:space="preserve"> light </w:t>
      </w:r>
      <w:proofErr w:type="spellStart"/>
      <w:r w:rsidRPr="006D24F8">
        <w:rPr>
          <w:rFonts w:ascii="Helvetica" w:hAnsi="Helvetica"/>
          <w:iCs/>
          <w:color w:val="221E1F"/>
          <w:sz w:val="20"/>
          <w:szCs w:val="20"/>
        </w:rPr>
        <w:t>on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political</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rationality</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that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explains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how</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these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conflicts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were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settled</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during</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2003-2015 </w:t>
      </w:r>
      <w:proofErr w:type="spellStart"/>
      <w:r w:rsidRPr="006D24F8">
        <w:rPr>
          <w:rFonts w:ascii="Helvetica" w:hAnsi="Helvetica"/>
          <w:iCs/>
          <w:color w:val="221E1F"/>
          <w:sz w:val="20"/>
          <w:szCs w:val="20"/>
        </w:rPr>
        <w:t>period</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main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argument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is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that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FPV </w:t>
      </w:r>
      <w:proofErr w:type="spellStart"/>
      <w:r w:rsidRPr="006D24F8">
        <w:rPr>
          <w:rFonts w:ascii="Helvetica" w:hAnsi="Helvetica"/>
          <w:iCs/>
          <w:color w:val="221E1F"/>
          <w:sz w:val="20"/>
          <w:szCs w:val="20"/>
        </w:rPr>
        <w:t>governments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ability</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to</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impose</w:t>
      </w:r>
      <w:proofErr w:type="spellEnd"/>
      <w:r w:rsidRPr="006D24F8">
        <w:rPr>
          <w:rFonts w:ascii="Helvetica" w:hAnsi="Helvetica"/>
          <w:iCs/>
          <w:color w:val="221E1F"/>
          <w:sz w:val="20"/>
          <w:szCs w:val="20"/>
        </w:rPr>
        <w:t xml:space="preserve"> a </w:t>
      </w:r>
      <w:proofErr w:type="spellStart"/>
      <w:r w:rsidRPr="006D24F8">
        <w:rPr>
          <w:rFonts w:ascii="Helvetica" w:hAnsi="Helvetica"/>
          <w:iCs/>
          <w:color w:val="221E1F"/>
          <w:sz w:val="20"/>
          <w:szCs w:val="20"/>
        </w:rPr>
        <w:t>high</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extraction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rate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on</w:t>
      </w:r>
      <w:proofErr w:type="spellEnd"/>
      <w:r w:rsidRPr="006D24F8">
        <w:rPr>
          <w:rFonts w:ascii="Helvetica" w:hAnsi="Helvetica"/>
          <w:sz w:val="20"/>
          <w:szCs w:val="20"/>
        </w:rPr>
        <w:t xml:space="preserve"> </w:t>
      </w:r>
      <w:proofErr w:type="spellStart"/>
      <w:r w:rsidRPr="006D24F8">
        <w:rPr>
          <w:rFonts w:ascii="Helvetica" w:hAnsi="Helvetica" w:cstheme="minorBidi"/>
          <w:iCs/>
          <w:color w:val="221E1F"/>
          <w:sz w:val="20"/>
          <w:szCs w:val="20"/>
        </w:rPr>
        <w:t>the</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agribusiness</w:t>
      </w:r>
      <w:proofErr w:type="spellEnd"/>
      <w:r w:rsidRPr="006D24F8">
        <w:rPr>
          <w:rFonts w:ascii="Helvetica" w:hAnsi="Helvetica" w:cstheme="minorBidi"/>
          <w:iCs/>
          <w:color w:val="221E1F"/>
          <w:sz w:val="20"/>
          <w:szCs w:val="20"/>
        </w:rPr>
        <w:t xml:space="preserve"> sector </w:t>
      </w:r>
      <w:proofErr w:type="spellStart"/>
      <w:r w:rsidRPr="006D24F8">
        <w:rPr>
          <w:rFonts w:ascii="Helvetica" w:hAnsi="Helvetica" w:cstheme="minorBidi"/>
          <w:iCs/>
          <w:color w:val="221E1F"/>
          <w:sz w:val="20"/>
          <w:szCs w:val="20"/>
        </w:rPr>
        <w:t>is</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explained</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by</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agricultural</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producers</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weakness</w:t>
      </w:r>
      <w:proofErr w:type="spellEnd"/>
      <w:r w:rsidRPr="006D24F8">
        <w:rPr>
          <w:rFonts w:ascii="Helvetica" w:hAnsi="Helvetica" w:cstheme="minorBidi"/>
          <w:iCs/>
          <w:color w:val="221E1F"/>
          <w:sz w:val="20"/>
          <w:szCs w:val="20"/>
        </w:rPr>
        <w:t xml:space="preserve"> in </w:t>
      </w:r>
      <w:proofErr w:type="spellStart"/>
      <w:r w:rsidRPr="006D24F8">
        <w:rPr>
          <w:rFonts w:ascii="Helvetica" w:hAnsi="Helvetica" w:cstheme="minorBidi"/>
          <w:iCs/>
          <w:color w:val="221E1F"/>
          <w:sz w:val="20"/>
          <w:szCs w:val="20"/>
        </w:rPr>
        <w:t>the</w:t>
      </w:r>
      <w:proofErr w:type="spellEnd"/>
      <w:r w:rsidRPr="006D24F8">
        <w:rPr>
          <w:rFonts w:ascii="Helvetica" w:hAnsi="Helvetica" w:cstheme="minorBidi"/>
          <w:iCs/>
          <w:color w:val="221E1F"/>
          <w:sz w:val="20"/>
          <w:szCs w:val="20"/>
        </w:rPr>
        <w:t xml:space="preserve"> arena of </w:t>
      </w:r>
      <w:proofErr w:type="spellStart"/>
      <w:r w:rsidRPr="006D24F8">
        <w:rPr>
          <w:rFonts w:ascii="Helvetica" w:hAnsi="Helvetica" w:cstheme="minorBidi"/>
          <w:iCs/>
          <w:color w:val="221E1F"/>
          <w:sz w:val="20"/>
          <w:szCs w:val="20"/>
        </w:rPr>
        <w:t>partisan</w:t>
      </w:r>
      <w:proofErr w:type="spellEnd"/>
      <w:r w:rsidRPr="006D24F8">
        <w:rPr>
          <w:rFonts w:ascii="Helvetica" w:hAnsi="Helvetica" w:cstheme="minorBidi"/>
          <w:iCs/>
          <w:color w:val="221E1F"/>
          <w:sz w:val="20"/>
          <w:szCs w:val="20"/>
        </w:rPr>
        <w:t xml:space="preserve"> and electoral </w:t>
      </w:r>
      <w:proofErr w:type="spellStart"/>
      <w:r w:rsidRPr="006D24F8">
        <w:rPr>
          <w:rFonts w:ascii="Helvetica" w:hAnsi="Helvetica" w:cstheme="minorBidi"/>
          <w:iCs/>
          <w:color w:val="221E1F"/>
          <w:sz w:val="20"/>
          <w:szCs w:val="20"/>
        </w:rPr>
        <w:t>politics</w:t>
      </w:r>
      <w:proofErr w:type="spellEnd"/>
      <w:r w:rsidRPr="006D24F8">
        <w:rPr>
          <w:rFonts w:ascii="Helvetica" w:hAnsi="Helvetica" w:cstheme="minorBidi"/>
          <w:iCs/>
          <w:color w:val="221E1F"/>
          <w:sz w:val="20"/>
          <w:szCs w:val="20"/>
        </w:rPr>
        <w:t xml:space="preserve"> and </w:t>
      </w:r>
      <w:proofErr w:type="spellStart"/>
      <w:r w:rsidRPr="006D24F8">
        <w:rPr>
          <w:rFonts w:ascii="Helvetica" w:hAnsi="Helvetica" w:cstheme="minorBidi"/>
          <w:iCs/>
          <w:color w:val="221E1F"/>
          <w:sz w:val="20"/>
          <w:szCs w:val="20"/>
        </w:rPr>
        <w:t>by</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the</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coordination</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problems</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that</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the</w:t>
      </w:r>
      <w:proofErr w:type="spellEnd"/>
      <w:r w:rsidRPr="006D24F8">
        <w:rPr>
          <w:rFonts w:ascii="Helvetica" w:hAnsi="Helvetica" w:cstheme="minorBidi"/>
          <w:iCs/>
          <w:color w:val="221E1F"/>
          <w:sz w:val="20"/>
          <w:szCs w:val="20"/>
        </w:rPr>
        <w:t xml:space="preserve"> </w:t>
      </w:r>
      <w:proofErr w:type="spellStart"/>
      <w:r w:rsidRPr="006D24F8">
        <w:rPr>
          <w:rFonts w:ascii="Helvetica" w:hAnsi="Helvetica" w:cstheme="minorBidi"/>
          <w:iCs/>
          <w:color w:val="221E1F"/>
          <w:sz w:val="20"/>
          <w:szCs w:val="20"/>
        </w:rPr>
        <w:t>agribusiness</w:t>
      </w:r>
      <w:proofErr w:type="spellEnd"/>
      <w:r w:rsidRPr="006D24F8">
        <w:rPr>
          <w:rFonts w:ascii="Helvetica" w:hAnsi="Helvetica" w:cstheme="minorBidi"/>
          <w:iCs/>
          <w:color w:val="221E1F"/>
          <w:sz w:val="20"/>
          <w:szCs w:val="20"/>
        </w:rPr>
        <w:t xml:space="preserve"> sector </w:t>
      </w:r>
      <w:proofErr w:type="spellStart"/>
      <w:r w:rsidRPr="006D24F8">
        <w:rPr>
          <w:rFonts w:ascii="Helvetica" w:hAnsi="Helvetica" w:cstheme="minorBidi"/>
          <w:iCs/>
          <w:color w:val="221E1F"/>
          <w:sz w:val="20"/>
          <w:szCs w:val="20"/>
        </w:rPr>
        <w:t>faced</w:t>
      </w:r>
      <w:proofErr w:type="spellEnd"/>
      <w:r w:rsidRPr="006D24F8">
        <w:rPr>
          <w:rFonts w:ascii="Helvetica" w:hAnsi="Helvetica" w:cstheme="minorBidi"/>
          <w:iCs/>
          <w:color w:val="221E1F"/>
          <w:sz w:val="20"/>
          <w:szCs w:val="20"/>
        </w:rPr>
        <w:t xml:space="preserve"> in </w:t>
      </w:r>
      <w:proofErr w:type="spellStart"/>
      <w:r w:rsidRPr="006D24F8">
        <w:rPr>
          <w:rFonts w:ascii="Helvetica" w:hAnsi="Helvetica" w:cstheme="minorBidi"/>
          <w:iCs/>
          <w:color w:val="221E1F"/>
          <w:sz w:val="20"/>
          <w:szCs w:val="20"/>
        </w:rPr>
        <w:t>the</w:t>
      </w:r>
      <w:proofErr w:type="spellEnd"/>
      <w:r w:rsidRPr="006D24F8">
        <w:rPr>
          <w:rFonts w:ascii="Helvetica" w:hAnsi="Helvetica" w:cstheme="minorBidi"/>
          <w:iCs/>
          <w:color w:val="221E1F"/>
          <w:sz w:val="20"/>
          <w:szCs w:val="20"/>
        </w:rPr>
        <w:t xml:space="preserve"> arena of </w:t>
      </w:r>
      <w:proofErr w:type="spellStart"/>
      <w:r w:rsidRPr="006D24F8">
        <w:rPr>
          <w:rFonts w:ascii="Helvetica" w:hAnsi="Helvetica"/>
          <w:iCs/>
          <w:color w:val="221E1F"/>
          <w:sz w:val="20"/>
          <w:szCs w:val="20"/>
        </w:rPr>
        <w:t>interest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representation</w:t>
      </w:r>
      <w:proofErr w:type="spellEnd"/>
      <w:r w:rsidRPr="006D24F8">
        <w:rPr>
          <w:rFonts w:ascii="Helvetica" w:hAnsi="Helvetica"/>
          <w:iCs/>
          <w:color w:val="221E1F"/>
          <w:sz w:val="20"/>
          <w:szCs w:val="20"/>
        </w:rPr>
        <w:t xml:space="preserve">. Prior </w:t>
      </w:r>
      <w:proofErr w:type="spellStart"/>
      <w:r w:rsidRPr="006D24F8">
        <w:rPr>
          <w:rFonts w:ascii="Helvetica" w:hAnsi="Helvetica"/>
          <w:iCs/>
          <w:color w:val="221E1F"/>
          <w:sz w:val="20"/>
          <w:szCs w:val="20"/>
        </w:rPr>
        <w:t>to</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2008 </w:t>
      </w:r>
      <w:proofErr w:type="spellStart"/>
      <w:r w:rsidRPr="006D24F8">
        <w:rPr>
          <w:rFonts w:ascii="Helvetica" w:hAnsi="Helvetica"/>
          <w:iCs/>
          <w:color w:val="221E1F"/>
          <w:sz w:val="20"/>
          <w:szCs w:val="20"/>
        </w:rPr>
        <w:t>conflict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producers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lack</w:t>
      </w:r>
      <w:proofErr w:type="spellEnd"/>
      <w:r w:rsidRPr="006D24F8">
        <w:rPr>
          <w:rFonts w:ascii="Helvetica" w:hAnsi="Helvetica"/>
          <w:iCs/>
          <w:color w:val="221E1F"/>
          <w:sz w:val="20"/>
          <w:szCs w:val="20"/>
        </w:rPr>
        <w:t xml:space="preserve"> of electoral and </w:t>
      </w:r>
      <w:proofErr w:type="spellStart"/>
      <w:r w:rsidRPr="006D24F8">
        <w:rPr>
          <w:rFonts w:ascii="Helvetica" w:hAnsi="Helvetica"/>
          <w:iCs/>
          <w:color w:val="221E1F"/>
          <w:sz w:val="20"/>
          <w:szCs w:val="20"/>
        </w:rPr>
        <w:t>partisan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resources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sufficed</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to</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explain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sectoral</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policy</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results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After</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conflict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government’s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goal</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was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to</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demobilize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sector </w:t>
      </w:r>
      <w:proofErr w:type="spellStart"/>
      <w:r w:rsidRPr="006D24F8">
        <w:rPr>
          <w:rFonts w:ascii="Helvetica" w:hAnsi="Helvetica"/>
          <w:iCs/>
          <w:color w:val="221E1F"/>
          <w:sz w:val="20"/>
          <w:szCs w:val="20"/>
        </w:rPr>
        <w:t>through</w:t>
      </w:r>
      <w:proofErr w:type="spellEnd"/>
      <w:r w:rsidRPr="006D24F8">
        <w:rPr>
          <w:rFonts w:ascii="Helvetica" w:hAnsi="Helvetica"/>
          <w:iCs/>
          <w:color w:val="221E1F"/>
          <w:sz w:val="20"/>
          <w:szCs w:val="20"/>
        </w:rPr>
        <w:t xml:space="preserve"> a </w:t>
      </w:r>
      <w:proofErr w:type="spellStart"/>
      <w:r w:rsidRPr="006D24F8">
        <w:rPr>
          <w:rFonts w:ascii="Helvetica" w:hAnsi="Helvetica"/>
          <w:iCs/>
          <w:color w:val="221E1F"/>
          <w:sz w:val="20"/>
          <w:szCs w:val="20"/>
        </w:rPr>
        <w:t>policy</w:t>
      </w:r>
      <w:proofErr w:type="spellEnd"/>
      <w:r w:rsidRPr="006D24F8">
        <w:rPr>
          <w:rFonts w:ascii="Helvetica" w:hAnsi="Helvetica"/>
          <w:iCs/>
          <w:color w:val="221E1F"/>
          <w:sz w:val="20"/>
          <w:szCs w:val="20"/>
        </w:rPr>
        <w:t xml:space="preserve"> of </w:t>
      </w:r>
      <w:proofErr w:type="spellStart"/>
      <w:r w:rsidRPr="006D24F8">
        <w:rPr>
          <w:rFonts w:ascii="Helvetica" w:hAnsi="Helvetica"/>
          <w:iCs/>
          <w:color w:val="221E1F"/>
          <w:sz w:val="20"/>
          <w:szCs w:val="20"/>
        </w:rPr>
        <w:t>selective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compensation</w:t>
      </w:r>
      <w:proofErr w:type="spellEnd"/>
      <w:r w:rsidRPr="006D24F8">
        <w:rPr>
          <w:rFonts w:ascii="Helvetica" w:hAnsi="Helvetica"/>
          <w:iCs/>
          <w:color w:val="221E1F"/>
          <w:sz w:val="20"/>
          <w:szCs w:val="20"/>
        </w:rPr>
        <w:t xml:space="preserve"> and </w:t>
      </w:r>
      <w:proofErr w:type="spellStart"/>
      <w:r w:rsidRPr="006D24F8">
        <w:rPr>
          <w:rFonts w:ascii="Helvetica" w:hAnsi="Helvetica"/>
          <w:iCs/>
          <w:color w:val="221E1F"/>
          <w:sz w:val="20"/>
          <w:szCs w:val="20"/>
        </w:rPr>
        <w:t>fragmentation</w:t>
      </w:r>
      <w:proofErr w:type="spellEnd"/>
      <w:r w:rsidRPr="006D24F8">
        <w:rPr>
          <w:rFonts w:ascii="Helvetica" w:hAnsi="Helvetica"/>
          <w:iCs/>
          <w:color w:val="221E1F"/>
          <w:sz w:val="20"/>
          <w:szCs w:val="20"/>
        </w:rPr>
        <w:t xml:space="preserve"> of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ruralist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front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way</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to</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achieve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that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goal</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was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by</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favoring</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producers</w:t>
      </w:r>
      <w:proofErr w:type="spellEnd"/>
      <w:r w:rsidRPr="006D24F8">
        <w:rPr>
          <w:rFonts w:ascii="Helvetica" w:hAnsi="Helvetica"/>
          <w:iCs/>
          <w:color w:val="221E1F"/>
          <w:sz w:val="20"/>
          <w:szCs w:val="20"/>
        </w:rPr>
        <w:t xml:space="preserve"> and </w:t>
      </w:r>
      <w:proofErr w:type="spellStart"/>
      <w:r w:rsidRPr="006D24F8">
        <w:rPr>
          <w:rFonts w:ascii="Helvetica" w:hAnsi="Helvetica"/>
          <w:iCs/>
          <w:color w:val="221E1F"/>
          <w:sz w:val="20"/>
          <w:szCs w:val="20"/>
        </w:rPr>
        <w:t>associations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potentially</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close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to</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government</w:t>
      </w:r>
      <w:proofErr w:type="spellEnd"/>
      <w:r w:rsidRPr="006D24F8">
        <w:rPr>
          <w:rFonts w:ascii="Helvetica" w:hAnsi="Helvetica"/>
          <w:iCs/>
          <w:color w:val="221E1F"/>
          <w:sz w:val="20"/>
          <w:szCs w:val="20"/>
        </w:rPr>
        <w:t xml:space="preserve"> in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conflicts</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that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pit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them</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against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other</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actors</w:t>
      </w:r>
      <w:proofErr w:type="spellEnd"/>
      <w:r w:rsidRPr="006D24F8">
        <w:rPr>
          <w:rFonts w:ascii="Helvetica" w:hAnsi="Helvetica"/>
          <w:iCs/>
          <w:color w:val="221E1F"/>
          <w:sz w:val="20"/>
          <w:szCs w:val="20"/>
        </w:rPr>
        <w:t xml:space="preserve"> in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value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chain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without</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altering</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overall</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extraction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rate</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imposed</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on</w:t>
      </w:r>
      <w:proofErr w:type="spellEnd"/>
      <w:r w:rsidRPr="006D24F8">
        <w:rPr>
          <w:rFonts w:ascii="Helvetica" w:hAnsi="Helvetica"/>
          <w:iCs/>
          <w:color w:val="221E1F"/>
          <w:sz w:val="20"/>
          <w:szCs w:val="20"/>
        </w:rPr>
        <w:t xml:space="preserve"> </w:t>
      </w:r>
      <w:proofErr w:type="spellStart"/>
      <w:r w:rsidRPr="006D24F8">
        <w:rPr>
          <w:rFonts w:ascii="Helvetica" w:hAnsi="Helvetica"/>
          <w:iCs/>
          <w:color w:val="221E1F"/>
          <w:sz w:val="20"/>
          <w:szCs w:val="20"/>
        </w:rPr>
        <w:t>the</w:t>
      </w:r>
      <w:proofErr w:type="spellEnd"/>
      <w:r w:rsidRPr="006D24F8">
        <w:rPr>
          <w:rFonts w:ascii="Helvetica" w:hAnsi="Helvetica"/>
          <w:iCs/>
          <w:color w:val="221E1F"/>
          <w:sz w:val="20"/>
          <w:szCs w:val="20"/>
        </w:rPr>
        <w:t xml:space="preserve"> sector.</w:t>
      </w:r>
    </w:p>
    <w:sectPr w:rsidR="00D7372B" w:rsidRPr="006D24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35C5"/>
    <w:rsid w:val="00005B98"/>
    <w:rsid w:val="000120D7"/>
    <w:rsid w:val="0004386E"/>
    <w:rsid w:val="00057722"/>
    <w:rsid w:val="000745F7"/>
    <w:rsid w:val="00080DE0"/>
    <w:rsid w:val="00094C4B"/>
    <w:rsid w:val="000B05D7"/>
    <w:rsid w:val="000D5E0F"/>
    <w:rsid w:val="000F1755"/>
    <w:rsid w:val="000F1DFC"/>
    <w:rsid w:val="000F34B5"/>
    <w:rsid w:val="000F36E3"/>
    <w:rsid w:val="00101114"/>
    <w:rsid w:val="00121E27"/>
    <w:rsid w:val="001269B8"/>
    <w:rsid w:val="00146340"/>
    <w:rsid w:val="00177171"/>
    <w:rsid w:val="00197651"/>
    <w:rsid w:val="001A3AF1"/>
    <w:rsid w:val="001A7405"/>
    <w:rsid w:val="001B0E50"/>
    <w:rsid w:val="001D0ED5"/>
    <w:rsid w:val="001D21DE"/>
    <w:rsid w:val="001D3465"/>
    <w:rsid w:val="001D6DF1"/>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A1386"/>
    <w:rsid w:val="003A6D9F"/>
    <w:rsid w:val="003B3F03"/>
    <w:rsid w:val="003C4E0F"/>
    <w:rsid w:val="003D1791"/>
    <w:rsid w:val="003D367D"/>
    <w:rsid w:val="003F06ED"/>
    <w:rsid w:val="003F6744"/>
    <w:rsid w:val="00400E45"/>
    <w:rsid w:val="00424367"/>
    <w:rsid w:val="00432D8D"/>
    <w:rsid w:val="00482C5B"/>
    <w:rsid w:val="00491E5B"/>
    <w:rsid w:val="004968A1"/>
    <w:rsid w:val="00497B74"/>
    <w:rsid w:val="004B049F"/>
    <w:rsid w:val="004D5A83"/>
    <w:rsid w:val="004E0025"/>
    <w:rsid w:val="004E5F9A"/>
    <w:rsid w:val="004F2C3F"/>
    <w:rsid w:val="00502A20"/>
    <w:rsid w:val="0052243F"/>
    <w:rsid w:val="00535AB7"/>
    <w:rsid w:val="00556AC4"/>
    <w:rsid w:val="005A656B"/>
    <w:rsid w:val="005B5E92"/>
    <w:rsid w:val="005B6CD0"/>
    <w:rsid w:val="005D61C7"/>
    <w:rsid w:val="00612D9C"/>
    <w:rsid w:val="00633A8E"/>
    <w:rsid w:val="006419BD"/>
    <w:rsid w:val="0064293A"/>
    <w:rsid w:val="00642A77"/>
    <w:rsid w:val="00656836"/>
    <w:rsid w:val="00671180"/>
    <w:rsid w:val="006825E3"/>
    <w:rsid w:val="006C78E8"/>
    <w:rsid w:val="006D24F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A09A0"/>
    <w:rsid w:val="007A3925"/>
    <w:rsid w:val="007D3524"/>
    <w:rsid w:val="007D74FE"/>
    <w:rsid w:val="007E19B2"/>
    <w:rsid w:val="007E36D8"/>
    <w:rsid w:val="00801979"/>
    <w:rsid w:val="00802B4D"/>
    <w:rsid w:val="008113A9"/>
    <w:rsid w:val="00893FF9"/>
    <w:rsid w:val="008A1C23"/>
    <w:rsid w:val="008A5982"/>
    <w:rsid w:val="008E5FCA"/>
    <w:rsid w:val="008F5B30"/>
    <w:rsid w:val="00906481"/>
    <w:rsid w:val="0091371B"/>
    <w:rsid w:val="00915BB3"/>
    <w:rsid w:val="00933CC0"/>
    <w:rsid w:val="009618CF"/>
    <w:rsid w:val="00966888"/>
    <w:rsid w:val="009B6585"/>
    <w:rsid w:val="009D0F0C"/>
    <w:rsid w:val="009D1A54"/>
    <w:rsid w:val="009D6FA0"/>
    <w:rsid w:val="009E0829"/>
    <w:rsid w:val="009F730B"/>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D262F"/>
    <w:rsid w:val="00BE5D69"/>
    <w:rsid w:val="00BF29EB"/>
    <w:rsid w:val="00C114F6"/>
    <w:rsid w:val="00C2227B"/>
    <w:rsid w:val="00C371BA"/>
    <w:rsid w:val="00C5467E"/>
    <w:rsid w:val="00C571C6"/>
    <w:rsid w:val="00C61B3B"/>
    <w:rsid w:val="00C82045"/>
    <w:rsid w:val="00C86EEC"/>
    <w:rsid w:val="00C921D2"/>
    <w:rsid w:val="00CA3629"/>
    <w:rsid w:val="00CF1C2B"/>
    <w:rsid w:val="00D05925"/>
    <w:rsid w:val="00D23F94"/>
    <w:rsid w:val="00D45250"/>
    <w:rsid w:val="00D50032"/>
    <w:rsid w:val="00D53C20"/>
    <w:rsid w:val="00D641FD"/>
    <w:rsid w:val="00D70470"/>
    <w:rsid w:val="00D7372B"/>
    <w:rsid w:val="00D82976"/>
    <w:rsid w:val="00DA0825"/>
    <w:rsid w:val="00DA40CF"/>
    <w:rsid w:val="00DC1EA1"/>
    <w:rsid w:val="00DD7AB2"/>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926C5"/>
    <w:rsid w:val="00E97479"/>
    <w:rsid w:val="00EC5D07"/>
    <w:rsid w:val="00F06653"/>
    <w:rsid w:val="00F135D3"/>
    <w:rsid w:val="00F31EE9"/>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3</cp:revision>
  <dcterms:created xsi:type="dcterms:W3CDTF">2017-09-26T18:47:00Z</dcterms:created>
  <dcterms:modified xsi:type="dcterms:W3CDTF">2017-09-26T18:57:00Z</dcterms:modified>
</cp:coreProperties>
</file>