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01" w:rsidRPr="004E0025" w:rsidRDefault="002E4201" w:rsidP="004E0025">
      <w:pPr>
        <w:pStyle w:val="Pa5"/>
        <w:spacing w:before="40"/>
        <w:jc w:val="both"/>
        <w:rPr>
          <w:color w:val="221E1F"/>
          <w:sz w:val="22"/>
          <w:szCs w:val="22"/>
        </w:rPr>
      </w:pPr>
      <w:bookmarkStart w:id="0" w:name="_GoBack"/>
      <w:r w:rsidRPr="004E0025">
        <w:rPr>
          <w:rStyle w:val="A1"/>
          <w:rFonts w:cs="Helvetica Light"/>
          <w:sz w:val="22"/>
          <w:szCs w:val="22"/>
        </w:rPr>
        <w:t xml:space="preserve">Los tratados de protección de inversiones y los derechos humanos. El agua potable: ¿un caso de conflicto asimétrico? </w:t>
      </w:r>
    </w:p>
    <w:p w:rsidR="002E4201" w:rsidRPr="004E0025" w:rsidRDefault="002E4201" w:rsidP="004E0025">
      <w:pPr>
        <w:spacing w:after="0" w:line="240" w:lineRule="auto"/>
        <w:jc w:val="both"/>
        <w:rPr>
          <w:rStyle w:val="A1"/>
          <w:rFonts w:ascii="Helvetica" w:hAnsi="Helvetica"/>
          <w:sz w:val="22"/>
          <w:szCs w:val="22"/>
        </w:rPr>
      </w:pPr>
    </w:p>
    <w:p w:rsidR="002E4201" w:rsidRPr="004E0025" w:rsidRDefault="002E4201" w:rsidP="004E0025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4E0025">
        <w:rPr>
          <w:rStyle w:val="A1"/>
          <w:rFonts w:ascii="Helvetica" w:hAnsi="Helvetica"/>
          <w:sz w:val="22"/>
          <w:szCs w:val="22"/>
        </w:rPr>
        <w:t xml:space="preserve">Javier I. </w:t>
      </w:r>
      <w:proofErr w:type="spellStart"/>
      <w:r w:rsidRPr="004E0025">
        <w:rPr>
          <w:rStyle w:val="A1"/>
          <w:rFonts w:ascii="Helvetica" w:hAnsi="Helvetica"/>
          <w:sz w:val="22"/>
          <w:szCs w:val="22"/>
        </w:rPr>
        <w:t>Echaide</w:t>
      </w:r>
      <w:proofErr w:type="spellEnd"/>
    </w:p>
    <w:p w:rsidR="002E4201" w:rsidRPr="004E0025" w:rsidRDefault="002E4201" w:rsidP="004E0025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4E0025" w:rsidRDefault="00DF6083" w:rsidP="004E0025">
      <w:pPr>
        <w:spacing w:after="0" w:line="240" w:lineRule="auto"/>
        <w:jc w:val="both"/>
        <w:rPr>
          <w:rFonts w:ascii="Helvetica" w:hAnsi="Helvetica" w:cs="Arial"/>
          <w:color w:val="000000"/>
        </w:rPr>
      </w:pPr>
      <w:r w:rsidRPr="004E0025">
        <w:rPr>
          <w:rFonts w:ascii="Helvetica" w:hAnsi="Helvetica" w:cs="Arial"/>
          <w:color w:val="231F20"/>
        </w:rPr>
        <w:t>[</w:t>
      </w:r>
      <w:r w:rsidRPr="004E0025">
        <w:rPr>
          <w:rFonts w:ascii="Helvetica" w:hAnsi="Helvetica" w:cs="Arial"/>
          <w:color w:val="000000"/>
        </w:rPr>
        <w:t xml:space="preserve">ICTA </w:t>
      </w:r>
      <w:r w:rsidR="00E648B4" w:rsidRPr="004E0025">
        <w:rPr>
          <w:rFonts w:ascii="Helvetica" w:hAnsi="Helvetica" w:cs="Arial"/>
          <w:color w:val="000000"/>
        </w:rPr>
        <w:t>Art</w:t>
      </w:r>
      <w:r w:rsidRPr="004E0025">
        <w:rPr>
          <w:rFonts w:ascii="Helvetica" w:hAnsi="Helvetica" w:cs="Arial"/>
          <w:color w:val="000000"/>
        </w:rPr>
        <w:t xml:space="preserve"> 16</w:t>
      </w:r>
      <w:r w:rsidR="009D1A54" w:rsidRPr="004E0025">
        <w:rPr>
          <w:rFonts w:ascii="Helvetica" w:hAnsi="Helvetica" w:cs="Arial"/>
          <w:color w:val="000000"/>
        </w:rPr>
        <w:t>9</w:t>
      </w:r>
      <w:r w:rsidR="002E4201" w:rsidRPr="004E0025">
        <w:rPr>
          <w:rFonts w:ascii="Helvetica" w:hAnsi="Helvetica" w:cs="Arial"/>
          <w:color w:val="000000"/>
        </w:rPr>
        <w:t>9</w:t>
      </w:r>
      <w:r w:rsidRPr="004E0025">
        <w:rPr>
          <w:rFonts w:ascii="Helvetica" w:hAnsi="Helvetica" w:cs="Arial"/>
          <w:color w:val="000000"/>
        </w:rPr>
        <w:t>]</w:t>
      </w:r>
    </w:p>
    <w:p w:rsidR="00DF6083" w:rsidRPr="004E0025" w:rsidRDefault="00DF6083" w:rsidP="004E0025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4E0025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4E0025">
        <w:rPr>
          <w:rFonts w:ascii="Helvetica" w:hAnsi="Helvetica" w:cs="Arial"/>
          <w:sz w:val="22"/>
          <w:szCs w:val="22"/>
        </w:rPr>
        <w:t xml:space="preserve"> (Buenos Aires), vol. 5</w:t>
      </w:r>
      <w:r w:rsidR="00AC02AC" w:rsidRPr="004E0025">
        <w:rPr>
          <w:rFonts w:ascii="Helvetica" w:hAnsi="Helvetica" w:cs="Arial"/>
          <w:sz w:val="22"/>
          <w:szCs w:val="22"/>
        </w:rPr>
        <w:t>6</w:t>
      </w:r>
      <w:r w:rsidRPr="004E0025">
        <w:rPr>
          <w:rFonts w:ascii="Helvetica" w:hAnsi="Helvetica" w:cs="Arial"/>
          <w:sz w:val="22"/>
          <w:szCs w:val="22"/>
        </w:rPr>
        <w:t>, Nº 2</w:t>
      </w:r>
      <w:r w:rsidR="00005B98" w:rsidRPr="004E0025">
        <w:rPr>
          <w:rFonts w:ascii="Helvetica" w:hAnsi="Helvetica" w:cs="Arial"/>
          <w:sz w:val="22"/>
          <w:szCs w:val="22"/>
        </w:rPr>
        <w:t>20</w:t>
      </w:r>
      <w:r w:rsidRPr="004E0025">
        <w:rPr>
          <w:rFonts w:ascii="Helvetica" w:hAnsi="Helvetica" w:cs="Arial"/>
          <w:sz w:val="22"/>
          <w:szCs w:val="22"/>
        </w:rPr>
        <w:t xml:space="preserve">, </w:t>
      </w:r>
      <w:r w:rsidR="00005B98" w:rsidRPr="004E0025">
        <w:rPr>
          <w:rFonts w:ascii="Helvetica" w:hAnsi="Helvetica" w:cs="Arial"/>
          <w:sz w:val="22"/>
          <w:szCs w:val="22"/>
        </w:rPr>
        <w:t>enero-abril</w:t>
      </w:r>
      <w:r w:rsidRPr="004E0025">
        <w:rPr>
          <w:rFonts w:ascii="Helvetica" w:hAnsi="Helvetica" w:cs="Arial"/>
          <w:sz w:val="22"/>
          <w:szCs w:val="22"/>
        </w:rPr>
        <w:t xml:space="preserve"> 201</w:t>
      </w:r>
      <w:r w:rsidR="00005B98" w:rsidRPr="004E0025">
        <w:rPr>
          <w:rFonts w:ascii="Helvetica" w:hAnsi="Helvetica" w:cs="Arial"/>
          <w:sz w:val="22"/>
          <w:szCs w:val="22"/>
        </w:rPr>
        <w:t>7</w:t>
      </w:r>
      <w:r w:rsidRPr="004E0025">
        <w:rPr>
          <w:rFonts w:ascii="Helvetica" w:hAnsi="Helvetica" w:cs="Arial"/>
          <w:sz w:val="22"/>
          <w:szCs w:val="22"/>
        </w:rPr>
        <w:t xml:space="preserve"> (pp. </w:t>
      </w:r>
      <w:r w:rsidR="004E0025" w:rsidRPr="004E0025">
        <w:rPr>
          <w:rFonts w:ascii="Helvetica" w:hAnsi="Helvetica" w:cs="Arial"/>
          <w:sz w:val="22"/>
          <w:szCs w:val="22"/>
        </w:rPr>
        <w:t>417-441</w:t>
      </w:r>
      <w:r w:rsidRPr="004E0025">
        <w:rPr>
          <w:rFonts w:ascii="Helvetica" w:hAnsi="Helvetica" w:cs="Arial"/>
          <w:sz w:val="22"/>
          <w:szCs w:val="22"/>
        </w:rPr>
        <w:t>).</w:t>
      </w:r>
    </w:p>
    <w:p w:rsidR="00DF6083" w:rsidRPr="004E0025" w:rsidRDefault="00DF6083" w:rsidP="004E002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1A7405" w:rsidRPr="004E0025" w:rsidRDefault="00DF6083" w:rsidP="004E0025">
      <w:pPr>
        <w:pStyle w:val="Default"/>
        <w:jc w:val="both"/>
        <w:rPr>
          <w:rFonts w:ascii="Helvetica" w:hAnsi="Helvetica"/>
          <w:sz w:val="22"/>
          <w:szCs w:val="22"/>
        </w:rPr>
      </w:pPr>
      <w:r w:rsidRPr="004E0025">
        <w:rPr>
          <w:rFonts w:ascii="Helvetica" w:hAnsi="Helvetica" w:cs="Arial"/>
          <w:sz w:val="22"/>
          <w:szCs w:val="22"/>
        </w:rPr>
        <w:t xml:space="preserve">Descriptores: </w:t>
      </w:r>
    </w:p>
    <w:p w:rsidR="00005B98" w:rsidRPr="00005B98" w:rsidRDefault="00005B98" w:rsidP="004E002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A14F48" w:rsidRPr="004E0025" w:rsidRDefault="004E0025" w:rsidP="004E0025">
      <w:pPr>
        <w:pStyle w:val="Default"/>
        <w:jc w:val="both"/>
        <w:rPr>
          <w:rFonts w:ascii="Helvetica" w:hAnsi="Helvetica" w:cstheme="minorBidi"/>
          <w:color w:val="221E1F"/>
          <w:sz w:val="22"/>
          <w:szCs w:val="22"/>
        </w:rPr>
      </w:pPr>
      <w:r w:rsidRPr="004E0025">
        <w:rPr>
          <w:rFonts w:ascii="Helvetica" w:hAnsi="Helvetica" w:cstheme="minorBidi"/>
          <w:color w:val="auto"/>
          <w:sz w:val="22"/>
          <w:szCs w:val="22"/>
        </w:rPr>
        <w:t>&lt;Tratados internacionales&gt; &lt;Derecho de inversiones&gt; &lt;Derecho al agua potable&gt; &lt;Derechos humanos&gt;</w:t>
      </w:r>
    </w:p>
    <w:p w:rsidR="004E0025" w:rsidRPr="004E0025" w:rsidRDefault="004E0025" w:rsidP="004E0025">
      <w:pPr>
        <w:pStyle w:val="Default"/>
        <w:jc w:val="both"/>
        <w:rPr>
          <w:rFonts w:ascii="Helvetica" w:hAnsi="Helvetica" w:cs="Helvetica-LightOblique"/>
          <w:b/>
          <w:iCs/>
          <w:sz w:val="22"/>
          <w:szCs w:val="22"/>
        </w:rPr>
      </w:pPr>
    </w:p>
    <w:p w:rsidR="00DF6083" w:rsidRPr="004E0025" w:rsidRDefault="00352888" w:rsidP="004E0025">
      <w:pPr>
        <w:pStyle w:val="Default"/>
        <w:jc w:val="both"/>
        <w:rPr>
          <w:rFonts w:ascii="Helvetica" w:hAnsi="Helvetica"/>
          <w:sz w:val="22"/>
          <w:szCs w:val="22"/>
        </w:rPr>
      </w:pPr>
      <w:r w:rsidRPr="004E0025">
        <w:rPr>
          <w:rFonts w:ascii="Helvetica" w:hAnsi="Helvetica" w:cs="Helvetica-LightOblique"/>
          <w:b/>
          <w:iCs/>
          <w:sz w:val="22"/>
          <w:szCs w:val="22"/>
        </w:rPr>
        <w:t>RESUMEN</w:t>
      </w:r>
    </w:p>
    <w:p w:rsidR="00E54DC7" w:rsidRPr="004E0025" w:rsidRDefault="00E54DC7" w:rsidP="004E002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A14F48" w:rsidRPr="004E0025" w:rsidRDefault="002E4201" w:rsidP="004E0025">
      <w:pPr>
        <w:pStyle w:val="Default"/>
        <w:jc w:val="both"/>
        <w:rPr>
          <w:rFonts w:ascii="Helvetica" w:hAnsi="Helvetica"/>
          <w:sz w:val="22"/>
          <w:szCs w:val="22"/>
        </w:rPr>
      </w:pPr>
      <w:r w:rsidRPr="004E0025">
        <w:rPr>
          <w:rFonts w:ascii="Helvetica" w:hAnsi="Helvetica"/>
          <w:iCs/>
          <w:sz w:val="22"/>
          <w:szCs w:val="22"/>
        </w:rPr>
        <w:t>El der</w:t>
      </w:r>
      <w:r w:rsidR="004E0025" w:rsidRPr="004E0025">
        <w:rPr>
          <w:rFonts w:ascii="Helvetica" w:hAnsi="Helvetica"/>
          <w:iCs/>
          <w:sz w:val="22"/>
          <w:szCs w:val="22"/>
        </w:rPr>
        <w:t>echo humano al agua ha sido con</w:t>
      </w:r>
      <w:r w:rsidRPr="004E0025">
        <w:rPr>
          <w:rFonts w:ascii="Helvetica" w:hAnsi="Helvetica"/>
          <w:iCs/>
          <w:sz w:val="22"/>
          <w:szCs w:val="22"/>
        </w:rPr>
        <w:t>sagrado como un derecho humano autónomo en 2010 a partir de la Resolución 64/292 de la ONU. Existen sin embargo marcos jurídicos e institucionales que pueden afectar este derecho: el régimen de prote</w:t>
      </w:r>
      <w:r w:rsidR="004E0025" w:rsidRPr="004E0025">
        <w:rPr>
          <w:rFonts w:ascii="Helvetica" w:hAnsi="Helvetica"/>
          <w:iCs/>
          <w:sz w:val="22"/>
          <w:szCs w:val="22"/>
        </w:rPr>
        <w:t>cción de inversiones a nivel in</w:t>
      </w:r>
      <w:r w:rsidRPr="004E0025">
        <w:rPr>
          <w:rFonts w:ascii="Helvetica" w:hAnsi="Helvetica"/>
          <w:iCs/>
          <w:sz w:val="22"/>
          <w:szCs w:val="22"/>
        </w:rPr>
        <w:t>ternacional nucleado principalmente en el CIADI se vincula con los</w:t>
      </w:r>
      <w:r w:rsidR="004E0025" w:rsidRPr="004E0025">
        <w:rPr>
          <w:rFonts w:ascii="Helvetica" w:hAnsi="Helvetica"/>
          <w:iCs/>
          <w:sz w:val="22"/>
          <w:szCs w:val="22"/>
        </w:rPr>
        <w:t xml:space="preserve"> servicios públicos, y en parti</w:t>
      </w:r>
      <w:r w:rsidRPr="004E0025">
        <w:rPr>
          <w:rFonts w:ascii="Helvetica" w:hAnsi="Helvetica"/>
          <w:iCs/>
          <w:sz w:val="22"/>
          <w:szCs w:val="22"/>
        </w:rPr>
        <w:t>cular la provisión de agua potable, entendiendo controversias en el ámbito internacional sin por ello analizar las consecuencias de sus laudos sobre el ejerc</w:t>
      </w:r>
      <w:r w:rsidR="004E0025" w:rsidRPr="004E0025">
        <w:rPr>
          <w:rFonts w:ascii="Helvetica" w:hAnsi="Helvetica"/>
          <w:iCs/>
          <w:sz w:val="22"/>
          <w:szCs w:val="22"/>
        </w:rPr>
        <w:t>icio pleno de los derechos huma</w:t>
      </w:r>
      <w:r w:rsidRPr="004E0025">
        <w:rPr>
          <w:rFonts w:ascii="Helvetica" w:hAnsi="Helvetica"/>
          <w:iCs/>
          <w:sz w:val="22"/>
          <w:szCs w:val="22"/>
        </w:rPr>
        <w:t xml:space="preserve">nos, causando una tensión entre obligaciones </w:t>
      </w:r>
      <w:r w:rsidRPr="004E0025">
        <w:rPr>
          <w:rFonts w:ascii="Helvetica" w:hAnsi="Helvetica"/>
          <w:i/>
          <w:sz w:val="22"/>
          <w:szCs w:val="22"/>
        </w:rPr>
        <w:t>erga omnes</w:t>
      </w:r>
      <w:r w:rsidRPr="004E0025">
        <w:rPr>
          <w:rFonts w:ascii="Helvetica" w:hAnsi="Helvetica"/>
          <w:sz w:val="22"/>
          <w:szCs w:val="22"/>
        </w:rPr>
        <w:t xml:space="preserve"> </w:t>
      </w:r>
      <w:r w:rsidRPr="004E0025">
        <w:rPr>
          <w:rFonts w:ascii="Helvetica" w:hAnsi="Helvetica"/>
          <w:iCs/>
          <w:sz w:val="22"/>
          <w:szCs w:val="22"/>
        </w:rPr>
        <w:t>y normas internacionales comunes. Ello causa un “enfriamiento regulatorio” del Es</w:t>
      </w:r>
      <w:r w:rsidRPr="004E0025">
        <w:rPr>
          <w:rFonts w:ascii="Helvetica" w:hAnsi="Helvetica"/>
          <w:iCs/>
          <w:sz w:val="22"/>
          <w:szCs w:val="22"/>
        </w:rPr>
        <w:softHyphen/>
        <w:t>tado y evidencia una relación asimétrica entre los derechos humanos y el derecho comercial global e inversiones.</w:t>
      </w:r>
    </w:p>
    <w:p w:rsidR="002E4201" w:rsidRPr="004E0025" w:rsidRDefault="002E4201" w:rsidP="004E0025">
      <w:pPr>
        <w:spacing w:after="0" w:line="240" w:lineRule="auto"/>
        <w:jc w:val="both"/>
        <w:rPr>
          <w:rFonts w:ascii="Helvetica" w:hAnsi="Helvetica"/>
          <w:b/>
        </w:rPr>
      </w:pPr>
    </w:p>
    <w:p w:rsidR="00352888" w:rsidRPr="004E0025" w:rsidRDefault="00352888" w:rsidP="004E0025">
      <w:pPr>
        <w:spacing w:after="0" w:line="240" w:lineRule="auto"/>
        <w:jc w:val="both"/>
        <w:rPr>
          <w:rFonts w:ascii="Helvetica" w:hAnsi="Helvetica"/>
          <w:b/>
          <w:lang w:val="en-US"/>
        </w:rPr>
      </w:pPr>
      <w:r w:rsidRPr="004E0025">
        <w:rPr>
          <w:rFonts w:ascii="Helvetica" w:hAnsi="Helvetica"/>
          <w:b/>
          <w:lang w:val="en-US"/>
        </w:rPr>
        <w:t>SUMMARY</w:t>
      </w:r>
    </w:p>
    <w:p w:rsidR="00005B98" w:rsidRPr="00005B98" w:rsidRDefault="00005B98" w:rsidP="004E002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  <w:lang w:val="en-US"/>
        </w:rPr>
      </w:pPr>
    </w:p>
    <w:p w:rsidR="00933CC0" w:rsidRPr="004E0025" w:rsidRDefault="00E3666F" w:rsidP="004E0025">
      <w:pPr>
        <w:pStyle w:val="Default"/>
        <w:jc w:val="both"/>
        <w:rPr>
          <w:rFonts w:ascii="Helvetica" w:hAnsi="Helvetica"/>
          <w:sz w:val="22"/>
          <w:szCs w:val="22"/>
        </w:rPr>
      </w:pPr>
      <w:r w:rsidRPr="004E0025">
        <w:rPr>
          <w:rFonts w:ascii="Helvetica" w:hAnsi="Helvetica"/>
          <w:iCs/>
          <w:sz w:val="22"/>
          <w:szCs w:val="22"/>
          <w:lang w:val="en-US"/>
        </w:rPr>
        <w:t>The human right to water has been enshrined as an autonomous human right in 2010 because of the UN Resolution 64/292. But there are legal and institutional frameworks that can affect this right: the international investment protection regime mainly nucleated at ICSID is linked to public services, and in this case water, understanding the international</w:t>
      </w:r>
      <w:r w:rsidR="004E0025" w:rsidRPr="004E0025">
        <w:rPr>
          <w:rFonts w:ascii="Helvetica" w:hAnsi="Helvetica"/>
          <w:iCs/>
          <w:sz w:val="22"/>
          <w:szCs w:val="22"/>
          <w:lang w:val="en-US"/>
        </w:rPr>
        <w:t xml:space="preserve"> disputes but without analyzing the consequences of its decisions on the full exercise of human rights, causing a tension between </w:t>
      </w:r>
      <w:proofErr w:type="spellStart"/>
      <w:r w:rsidR="004E0025" w:rsidRPr="004E0025">
        <w:rPr>
          <w:rFonts w:ascii="Helvetica" w:hAnsi="Helvetica"/>
          <w:i/>
          <w:sz w:val="22"/>
          <w:szCs w:val="22"/>
          <w:lang w:val="en-US"/>
        </w:rPr>
        <w:t>erga</w:t>
      </w:r>
      <w:proofErr w:type="spellEnd"/>
      <w:r w:rsidR="004E0025" w:rsidRPr="004E0025">
        <w:rPr>
          <w:rFonts w:ascii="Helvetica" w:hAnsi="Helvetica"/>
          <w:i/>
          <w:sz w:val="22"/>
          <w:szCs w:val="22"/>
          <w:lang w:val="en-US"/>
        </w:rPr>
        <w:t xml:space="preserve"> </w:t>
      </w:r>
      <w:proofErr w:type="spellStart"/>
      <w:r w:rsidR="004E0025" w:rsidRPr="004E0025">
        <w:rPr>
          <w:rFonts w:ascii="Helvetica" w:hAnsi="Helvetica"/>
          <w:i/>
          <w:sz w:val="22"/>
          <w:szCs w:val="22"/>
          <w:lang w:val="en-US"/>
        </w:rPr>
        <w:t>omnes</w:t>
      </w:r>
      <w:proofErr w:type="spellEnd"/>
      <w:r w:rsidR="004E0025" w:rsidRPr="004E0025">
        <w:rPr>
          <w:rFonts w:ascii="Helvetica" w:hAnsi="Helvetica"/>
          <w:sz w:val="22"/>
          <w:szCs w:val="22"/>
          <w:lang w:val="en-US"/>
        </w:rPr>
        <w:t xml:space="preserve"> </w:t>
      </w:r>
      <w:r w:rsidR="004E0025" w:rsidRPr="004E0025">
        <w:rPr>
          <w:rFonts w:ascii="Helvetica" w:hAnsi="Helvetica"/>
          <w:iCs/>
          <w:sz w:val="22"/>
          <w:szCs w:val="22"/>
          <w:lang w:val="en-US"/>
        </w:rPr>
        <w:t>obligations and common international standards. This causes a “regulatory chill” of the State and shows an asymmetrical relationship between human rights and global trade and investment law.</w:t>
      </w:r>
      <w:bookmarkEnd w:id="0"/>
    </w:p>
    <w:sectPr w:rsidR="00933CC0" w:rsidRPr="004E0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35C5"/>
    <w:rsid w:val="00005B98"/>
    <w:rsid w:val="000120D7"/>
    <w:rsid w:val="00057722"/>
    <w:rsid w:val="000745F7"/>
    <w:rsid w:val="00080DE0"/>
    <w:rsid w:val="00094C4B"/>
    <w:rsid w:val="000D5E0F"/>
    <w:rsid w:val="000F1755"/>
    <w:rsid w:val="000F34B5"/>
    <w:rsid w:val="000F36E3"/>
    <w:rsid w:val="00101114"/>
    <w:rsid w:val="001269B8"/>
    <w:rsid w:val="00146340"/>
    <w:rsid w:val="00177171"/>
    <w:rsid w:val="00197651"/>
    <w:rsid w:val="001A7405"/>
    <w:rsid w:val="001D0ED5"/>
    <w:rsid w:val="001D21DE"/>
    <w:rsid w:val="001D3465"/>
    <w:rsid w:val="001D6DF1"/>
    <w:rsid w:val="001E2F6B"/>
    <w:rsid w:val="001E568C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E4201"/>
    <w:rsid w:val="002F2691"/>
    <w:rsid w:val="00320922"/>
    <w:rsid w:val="00327F6A"/>
    <w:rsid w:val="00340CC0"/>
    <w:rsid w:val="00352888"/>
    <w:rsid w:val="00363781"/>
    <w:rsid w:val="00393C4C"/>
    <w:rsid w:val="00394677"/>
    <w:rsid w:val="003B3F03"/>
    <w:rsid w:val="003D1791"/>
    <w:rsid w:val="003D367D"/>
    <w:rsid w:val="003F06ED"/>
    <w:rsid w:val="003F6744"/>
    <w:rsid w:val="00400E45"/>
    <w:rsid w:val="00424367"/>
    <w:rsid w:val="00482C5B"/>
    <w:rsid w:val="00491E5B"/>
    <w:rsid w:val="004968A1"/>
    <w:rsid w:val="004B049F"/>
    <w:rsid w:val="004D5A83"/>
    <w:rsid w:val="004E0025"/>
    <w:rsid w:val="004E5F9A"/>
    <w:rsid w:val="004F2C3F"/>
    <w:rsid w:val="00502A20"/>
    <w:rsid w:val="00535AB7"/>
    <w:rsid w:val="00556AC4"/>
    <w:rsid w:val="005A656B"/>
    <w:rsid w:val="005B6CD0"/>
    <w:rsid w:val="00612D9C"/>
    <w:rsid w:val="006419BD"/>
    <w:rsid w:val="0064293A"/>
    <w:rsid w:val="00642A77"/>
    <w:rsid w:val="00671180"/>
    <w:rsid w:val="006825E3"/>
    <w:rsid w:val="006C78E8"/>
    <w:rsid w:val="006F7C52"/>
    <w:rsid w:val="00706C36"/>
    <w:rsid w:val="00712F45"/>
    <w:rsid w:val="00716E3C"/>
    <w:rsid w:val="007242C0"/>
    <w:rsid w:val="00730C16"/>
    <w:rsid w:val="007405D0"/>
    <w:rsid w:val="007539D9"/>
    <w:rsid w:val="007562B6"/>
    <w:rsid w:val="007607D6"/>
    <w:rsid w:val="00770E7C"/>
    <w:rsid w:val="0077545C"/>
    <w:rsid w:val="00793FC9"/>
    <w:rsid w:val="007A09A0"/>
    <w:rsid w:val="007A3925"/>
    <w:rsid w:val="007D74FE"/>
    <w:rsid w:val="007E19B2"/>
    <w:rsid w:val="007E36D8"/>
    <w:rsid w:val="00801979"/>
    <w:rsid w:val="008113A9"/>
    <w:rsid w:val="00893FF9"/>
    <w:rsid w:val="008A1C23"/>
    <w:rsid w:val="008A5982"/>
    <w:rsid w:val="008E5FCA"/>
    <w:rsid w:val="008F5B30"/>
    <w:rsid w:val="00915BB3"/>
    <w:rsid w:val="00933CC0"/>
    <w:rsid w:val="009B6585"/>
    <w:rsid w:val="009D0F0C"/>
    <w:rsid w:val="009D1A54"/>
    <w:rsid w:val="009D6FA0"/>
    <w:rsid w:val="009E0829"/>
    <w:rsid w:val="009F730B"/>
    <w:rsid w:val="00A0617C"/>
    <w:rsid w:val="00A14F48"/>
    <w:rsid w:val="00A27F4C"/>
    <w:rsid w:val="00A32E8D"/>
    <w:rsid w:val="00A43BAA"/>
    <w:rsid w:val="00A61F82"/>
    <w:rsid w:val="00A77123"/>
    <w:rsid w:val="00A82088"/>
    <w:rsid w:val="00AC02AC"/>
    <w:rsid w:val="00AC4622"/>
    <w:rsid w:val="00AE09B5"/>
    <w:rsid w:val="00AE3863"/>
    <w:rsid w:val="00AF5516"/>
    <w:rsid w:val="00B04F14"/>
    <w:rsid w:val="00B31F74"/>
    <w:rsid w:val="00B37A32"/>
    <w:rsid w:val="00B414CE"/>
    <w:rsid w:val="00B677E4"/>
    <w:rsid w:val="00B678E0"/>
    <w:rsid w:val="00B93088"/>
    <w:rsid w:val="00BA1FB5"/>
    <w:rsid w:val="00BA2BCD"/>
    <w:rsid w:val="00BA2FB7"/>
    <w:rsid w:val="00BB0764"/>
    <w:rsid w:val="00BB5A8E"/>
    <w:rsid w:val="00BC26B1"/>
    <w:rsid w:val="00BF29EB"/>
    <w:rsid w:val="00C114F6"/>
    <w:rsid w:val="00C2227B"/>
    <w:rsid w:val="00C371BA"/>
    <w:rsid w:val="00C5467E"/>
    <w:rsid w:val="00C571C6"/>
    <w:rsid w:val="00C61B3B"/>
    <w:rsid w:val="00C82045"/>
    <w:rsid w:val="00C921D2"/>
    <w:rsid w:val="00CA3629"/>
    <w:rsid w:val="00CF1C2B"/>
    <w:rsid w:val="00D05925"/>
    <w:rsid w:val="00D23F94"/>
    <w:rsid w:val="00D45250"/>
    <w:rsid w:val="00D50032"/>
    <w:rsid w:val="00D53C20"/>
    <w:rsid w:val="00D641FD"/>
    <w:rsid w:val="00D70470"/>
    <w:rsid w:val="00D82976"/>
    <w:rsid w:val="00DA0825"/>
    <w:rsid w:val="00DA40CF"/>
    <w:rsid w:val="00DC1EA1"/>
    <w:rsid w:val="00DD7AB2"/>
    <w:rsid w:val="00DF6083"/>
    <w:rsid w:val="00E3666F"/>
    <w:rsid w:val="00E42B73"/>
    <w:rsid w:val="00E5442A"/>
    <w:rsid w:val="00E54670"/>
    <w:rsid w:val="00E54DC7"/>
    <w:rsid w:val="00E623EF"/>
    <w:rsid w:val="00E648B4"/>
    <w:rsid w:val="00E6709A"/>
    <w:rsid w:val="00E7348A"/>
    <w:rsid w:val="00E75550"/>
    <w:rsid w:val="00E926C5"/>
    <w:rsid w:val="00E97479"/>
    <w:rsid w:val="00EC5D07"/>
    <w:rsid w:val="00F135D3"/>
    <w:rsid w:val="00F31EE9"/>
    <w:rsid w:val="00F674C5"/>
    <w:rsid w:val="00F86C3B"/>
    <w:rsid w:val="00F93B3A"/>
    <w:rsid w:val="00FB15AE"/>
    <w:rsid w:val="00FC1BBF"/>
    <w:rsid w:val="00FD67A8"/>
    <w:rsid w:val="00FE05FE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2017-05-29T19:48:00Z</dcterms:created>
  <dcterms:modified xsi:type="dcterms:W3CDTF">2017-05-29T20:59:00Z</dcterms:modified>
</cp:coreProperties>
</file>