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98" w:rsidRPr="00005B98" w:rsidRDefault="00005B98" w:rsidP="00005B98">
      <w:pPr>
        <w:jc w:val="both"/>
        <w:rPr>
          <w:rFonts w:ascii="Helvetica" w:hAnsi="Helvetica" w:cs="Helvetica"/>
        </w:rPr>
      </w:pPr>
      <w:r w:rsidRPr="00005B98">
        <w:rPr>
          <w:rStyle w:val="A1"/>
          <w:rFonts w:ascii="Helvetica" w:hAnsi="Helvetica" w:cs="Helvetica Light"/>
          <w:sz w:val="22"/>
          <w:szCs w:val="22"/>
        </w:rPr>
        <w:t xml:space="preserve">Cadenas globales de valor y políticas de desarrollo </w:t>
      </w:r>
    </w:p>
    <w:p w:rsidR="00E54DC7" w:rsidRPr="00005B98" w:rsidRDefault="00005B98" w:rsidP="00005B98">
      <w:pPr>
        <w:spacing w:after="0" w:line="240" w:lineRule="auto"/>
        <w:jc w:val="both"/>
        <w:rPr>
          <w:rFonts w:ascii="Helvetica" w:hAnsi="Helvetica" w:cs="Arial"/>
          <w:color w:val="231F20"/>
        </w:rPr>
      </w:pPr>
      <w:r w:rsidRPr="00005B98">
        <w:rPr>
          <w:rStyle w:val="A1"/>
          <w:rFonts w:ascii="Helvetica" w:hAnsi="Helvetica"/>
          <w:sz w:val="22"/>
          <w:szCs w:val="22"/>
        </w:rPr>
        <w:t xml:space="preserve">Carlo </w:t>
      </w:r>
      <w:proofErr w:type="spellStart"/>
      <w:r w:rsidRPr="00005B98">
        <w:rPr>
          <w:rStyle w:val="A1"/>
          <w:rFonts w:ascii="Helvetica" w:hAnsi="Helvetica"/>
          <w:sz w:val="22"/>
          <w:szCs w:val="22"/>
        </w:rPr>
        <w:t>Pietrobelli</w:t>
      </w:r>
      <w:proofErr w:type="spellEnd"/>
      <w:r w:rsidRPr="00005B98">
        <w:rPr>
          <w:rStyle w:val="A1"/>
          <w:rFonts w:ascii="Helvetica" w:hAnsi="Helvetica"/>
          <w:sz w:val="22"/>
          <w:szCs w:val="22"/>
        </w:rPr>
        <w:t xml:space="preserve"> y </w:t>
      </w:r>
      <w:proofErr w:type="spellStart"/>
      <w:r w:rsidRPr="00005B98">
        <w:rPr>
          <w:rStyle w:val="A1"/>
          <w:rFonts w:ascii="Helvetica" w:hAnsi="Helvetica"/>
          <w:sz w:val="22"/>
          <w:szCs w:val="22"/>
        </w:rPr>
        <w:t>Cornelia</w:t>
      </w:r>
      <w:proofErr w:type="spellEnd"/>
      <w:r w:rsidRPr="00005B98">
        <w:rPr>
          <w:rStyle w:val="A1"/>
          <w:rFonts w:ascii="Helvetica" w:hAnsi="Helvetica"/>
          <w:sz w:val="22"/>
          <w:szCs w:val="22"/>
        </w:rPr>
        <w:t xml:space="preserve"> </w:t>
      </w:r>
      <w:proofErr w:type="spellStart"/>
      <w:r w:rsidRPr="00005B98">
        <w:rPr>
          <w:rStyle w:val="A1"/>
          <w:rFonts w:ascii="Helvetica" w:hAnsi="Helvetica"/>
          <w:sz w:val="22"/>
          <w:szCs w:val="22"/>
        </w:rPr>
        <w:t>Staritz</w:t>
      </w:r>
      <w:proofErr w:type="spellEnd"/>
      <w:r w:rsidRPr="00005B98">
        <w:rPr>
          <w:rStyle w:val="A1"/>
          <w:rFonts w:ascii="Helvetica" w:hAnsi="Helvetica"/>
          <w:sz w:val="22"/>
          <w:szCs w:val="22"/>
        </w:rPr>
        <w:t>:</w:t>
      </w:r>
    </w:p>
    <w:p w:rsidR="00005B98" w:rsidRPr="00005B98" w:rsidRDefault="00005B98" w:rsidP="00005B98">
      <w:pPr>
        <w:spacing w:after="0" w:line="240" w:lineRule="auto"/>
        <w:jc w:val="both"/>
        <w:rPr>
          <w:rFonts w:ascii="Helvetica" w:hAnsi="Helvetica" w:cs="Arial"/>
          <w:color w:val="231F20"/>
        </w:rPr>
      </w:pPr>
    </w:p>
    <w:p w:rsidR="00AC02AC" w:rsidRPr="00005B98" w:rsidRDefault="00DF6083" w:rsidP="00005B98">
      <w:pPr>
        <w:spacing w:after="0" w:line="240" w:lineRule="auto"/>
        <w:jc w:val="both"/>
        <w:rPr>
          <w:rFonts w:ascii="Helvetica" w:hAnsi="Helvetica" w:cs="Arial"/>
          <w:color w:val="000000"/>
          <w:sz w:val="20"/>
          <w:szCs w:val="20"/>
        </w:rPr>
      </w:pPr>
      <w:r w:rsidRPr="00005B98">
        <w:rPr>
          <w:rFonts w:ascii="Helvetica" w:hAnsi="Helvetica" w:cs="Arial"/>
          <w:color w:val="231F20"/>
          <w:sz w:val="20"/>
          <w:szCs w:val="20"/>
        </w:rPr>
        <w:t>[</w:t>
      </w:r>
      <w:r w:rsidRPr="00005B98">
        <w:rPr>
          <w:rFonts w:ascii="Helvetica" w:hAnsi="Helvetica" w:cs="Arial"/>
          <w:color w:val="000000"/>
          <w:sz w:val="20"/>
          <w:szCs w:val="20"/>
        </w:rPr>
        <w:t xml:space="preserve">ICTA </w:t>
      </w:r>
      <w:r w:rsidR="00E648B4" w:rsidRPr="00005B98">
        <w:rPr>
          <w:rFonts w:ascii="Helvetica" w:hAnsi="Helvetica" w:cs="Arial"/>
          <w:color w:val="000000"/>
          <w:sz w:val="20"/>
          <w:szCs w:val="20"/>
        </w:rPr>
        <w:t>Art</w:t>
      </w:r>
      <w:r w:rsidRPr="00005B98">
        <w:rPr>
          <w:rFonts w:ascii="Helvetica" w:hAnsi="Helvetica" w:cs="Arial"/>
          <w:color w:val="000000"/>
          <w:sz w:val="20"/>
          <w:szCs w:val="20"/>
        </w:rPr>
        <w:t xml:space="preserve"> 16</w:t>
      </w:r>
      <w:r w:rsidR="009D1A54" w:rsidRPr="00005B98">
        <w:rPr>
          <w:rFonts w:ascii="Helvetica" w:hAnsi="Helvetica" w:cs="Arial"/>
          <w:color w:val="000000"/>
          <w:sz w:val="20"/>
          <w:szCs w:val="20"/>
        </w:rPr>
        <w:t>9</w:t>
      </w:r>
      <w:r w:rsidR="00005B98" w:rsidRPr="00005B98">
        <w:rPr>
          <w:rFonts w:ascii="Helvetica" w:hAnsi="Helvetica" w:cs="Arial"/>
          <w:color w:val="000000"/>
          <w:sz w:val="20"/>
          <w:szCs w:val="20"/>
        </w:rPr>
        <w:t>7</w:t>
      </w:r>
      <w:r w:rsidRPr="00005B98">
        <w:rPr>
          <w:rFonts w:ascii="Helvetica" w:hAnsi="Helvetica" w:cs="Arial"/>
          <w:color w:val="000000"/>
          <w:sz w:val="20"/>
          <w:szCs w:val="20"/>
        </w:rPr>
        <w:t>]</w:t>
      </w:r>
    </w:p>
    <w:p w:rsidR="00DF6083" w:rsidRPr="00005B98" w:rsidRDefault="00DF6083" w:rsidP="00005B98">
      <w:pPr>
        <w:pStyle w:val="Normal-paracolocar"/>
        <w:spacing w:line="240" w:lineRule="auto"/>
        <w:rPr>
          <w:rFonts w:ascii="Helvetica" w:hAnsi="Helvetica" w:cs="Arial"/>
          <w:sz w:val="20"/>
          <w:szCs w:val="20"/>
        </w:rPr>
      </w:pPr>
      <w:r w:rsidRPr="00005B98">
        <w:rPr>
          <w:rFonts w:ascii="Helvetica" w:hAnsi="Helvetica" w:cs="Arial"/>
          <w:iCs/>
          <w:sz w:val="20"/>
          <w:szCs w:val="20"/>
        </w:rPr>
        <w:t>DESARROLLO ECONOMICO - REVISTA DE CIENCIAS SOCIALES</w:t>
      </w:r>
      <w:r w:rsidRPr="00005B98">
        <w:rPr>
          <w:rFonts w:ascii="Helvetica" w:hAnsi="Helvetica" w:cs="Arial"/>
          <w:sz w:val="20"/>
          <w:szCs w:val="20"/>
        </w:rPr>
        <w:t xml:space="preserve"> (Buenos Aires), vol. 5</w:t>
      </w:r>
      <w:r w:rsidR="00AC02AC" w:rsidRPr="00005B98">
        <w:rPr>
          <w:rFonts w:ascii="Helvetica" w:hAnsi="Helvetica" w:cs="Arial"/>
          <w:sz w:val="20"/>
          <w:szCs w:val="20"/>
        </w:rPr>
        <w:t>6</w:t>
      </w:r>
      <w:r w:rsidRPr="00005B98">
        <w:rPr>
          <w:rFonts w:ascii="Helvetica" w:hAnsi="Helvetica" w:cs="Arial"/>
          <w:sz w:val="20"/>
          <w:szCs w:val="20"/>
        </w:rPr>
        <w:t>, Nº 2</w:t>
      </w:r>
      <w:r w:rsidR="00005B98" w:rsidRPr="00005B98">
        <w:rPr>
          <w:rFonts w:ascii="Helvetica" w:hAnsi="Helvetica" w:cs="Arial"/>
          <w:sz w:val="20"/>
          <w:szCs w:val="20"/>
        </w:rPr>
        <w:t>20</w:t>
      </w:r>
      <w:r w:rsidRPr="00005B98">
        <w:rPr>
          <w:rFonts w:ascii="Helvetica" w:hAnsi="Helvetica" w:cs="Arial"/>
          <w:sz w:val="20"/>
          <w:szCs w:val="20"/>
        </w:rPr>
        <w:t xml:space="preserve">, </w:t>
      </w:r>
      <w:r w:rsidR="00005B98" w:rsidRPr="00005B98">
        <w:rPr>
          <w:rFonts w:ascii="Helvetica" w:hAnsi="Helvetica" w:cs="Arial"/>
          <w:sz w:val="20"/>
          <w:szCs w:val="20"/>
        </w:rPr>
        <w:t>enero-abril</w:t>
      </w:r>
      <w:r w:rsidRPr="00005B98">
        <w:rPr>
          <w:rFonts w:ascii="Helvetica" w:hAnsi="Helvetica" w:cs="Arial"/>
          <w:sz w:val="20"/>
          <w:szCs w:val="20"/>
        </w:rPr>
        <w:t xml:space="preserve"> 201</w:t>
      </w:r>
      <w:r w:rsidR="00005B98" w:rsidRPr="00005B98">
        <w:rPr>
          <w:rFonts w:ascii="Helvetica" w:hAnsi="Helvetica" w:cs="Arial"/>
          <w:sz w:val="20"/>
          <w:szCs w:val="20"/>
        </w:rPr>
        <w:t>7</w:t>
      </w:r>
      <w:r w:rsidRPr="00005B98">
        <w:rPr>
          <w:rFonts w:ascii="Helvetica" w:hAnsi="Helvetica" w:cs="Arial"/>
          <w:sz w:val="20"/>
          <w:szCs w:val="20"/>
        </w:rPr>
        <w:t xml:space="preserve"> (pp. </w:t>
      </w:r>
      <w:r w:rsidR="00005B98" w:rsidRPr="00005B98">
        <w:rPr>
          <w:rFonts w:ascii="Helvetica" w:hAnsi="Helvetica" w:cs="Arial"/>
          <w:sz w:val="20"/>
          <w:szCs w:val="20"/>
        </w:rPr>
        <w:t>371-391</w:t>
      </w:r>
      <w:r w:rsidRPr="00005B98">
        <w:rPr>
          <w:rFonts w:ascii="Helvetica" w:hAnsi="Helvetica" w:cs="Arial"/>
          <w:sz w:val="20"/>
          <w:szCs w:val="20"/>
        </w:rPr>
        <w:t>).</w:t>
      </w:r>
    </w:p>
    <w:p w:rsidR="00DF6083" w:rsidRPr="00005B98" w:rsidRDefault="00DF6083" w:rsidP="00005B98">
      <w:pPr>
        <w:autoSpaceDE w:val="0"/>
        <w:autoSpaceDN w:val="0"/>
        <w:adjustRightInd w:val="0"/>
        <w:spacing w:after="0" w:line="240" w:lineRule="auto"/>
        <w:jc w:val="both"/>
        <w:rPr>
          <w:rFonts w:ascii="Helvetica" w:hAnsi="Helvetica" w:cs="Arial"/>
          <w:sz w:val="20"/>
          <w:szCs w:val="20"/>
        </w:rPr>
      </w:pPr>
    </w:p>
    <w:p w:rsidR="001A7405" w:rsidRPr="00005B98" w:rsidRDefault="00DF6083" w:rsidP="00005B98">
      <w:pPr>
        <w:pStyle w:val="Default"/>
        <w:jc w:val="both"/>
        <w:rPr>
          <w:rFonts w:ascii="Helvetica" w:hAnsi="Helvetica"/>
          <w:sz w:val="20"/>
          <w:szCs w:val="20"/>
        </w:rPr>
      </w:pPr>
      <w:r w:rsidRPr="00005B98">
        <w:rPr>
          <w:rFonts w:ascii="Helvetica" w:hAnsi="Helvetica" w:cs="Arial"/>
          <w:sz w:val="20"/>
          <w:szCs w:val="20"/>
        </w:rPr>
        <w:t xml:space="preserve">Descriptores: </w:t>
      </w:r>
    </w:p>
    <w:p w:rsidR="00005B98" w:rsidRPr="00005B98" w:rsidRDefault="00005B98" w:rsidP="00005B98">
      <w:pPr>
        <w:autoSpaceDE w:val="0"/>
        <w:autoSpaceDN w:val="0"/>
        <w:adjustRightInd w:val="0"/>
        <w:spacing w:after="0" w:line="240" w:lineRule="auto"/>
        <w:jc w:val="both"/>
        <w:rPr>
          <w:rFonts w:ascii="Helvetica" w:hAnsi="Helvetica" w:cs="Helvetica Light"/>
          <w:color w:val="000000"/>
          <w:sz w:val="20"/>
          <w:szCs w:val="20"/>
        </w:rPr>
      </w:pPr>
    </w:p>
    <w:p w:rsidR="00E5442A" w:rsidRPr="00005B98" w:rsidRDefault="00005B98" w:rsidP="00005B98">
      <w:pPr>
        <w:pStyle w:val="Default"/>
        <w:jc w:val="both"/>
        <w:rPr>
          <w:rFonts w:ascii="Helvetica" w:hAnsi="Helvetica" w:cs="Helvetica-LightOblique"/>
          <w:b/>
          <w:iCs/>
          <w:sz w:val="20"/>
          <w:szCs w:val="20"/>
        </w:rPr>
      </w:pPr>
      <w:r w:rsidRPr="00005B98">
        <w:rPr>
          <w:rFonts w:ascii="Helvetica" w:hAnsi="Helvetica" w:cstheme="minorBidi"/>
          <w:color w:val="221E1F"/>
          <w:sz w:val="20"/>
          <w:szCs w:val="20"/>
        </w:rPr>
        <w:t>&lt;Cadenas globales de valor&gt; &lt;Políticas y programas de desarrollo&gt; &lt;Gobernanza&gt; &lt;Modernización&gt; &lt;</w:t>
      </w:r>
      <w:proofErr w:type="spellStart"/>
      <w:r w:rsidRPr="00005B98">
        <w:rPr>
          <w:rFonts w:ascii="Helvetica" w:hAnsi="Helvetica" w:cstheme="minorBidi"/>
          <w:color w:val="221E1F"/>
          <w:sz w:val="20"/>
          <w:szCs w:val="20"/>
        </w:rPr>
        <w:t>Upgrading</w:t>
      </w:r>
      <w:proofErr w:type="spellEnd"/>
      <w:r w:rsidRPr="00005B98">
        <w:rPr>
          <w:rFonts w:ascii="Helvetica" w:hAnsi="Helvetica" w:cstheme="minorBidi"/>
          <w:color w:val="221E1F"/>
          <w:sz w:val="20"/>
          <w:szCs w:val="20"/>
        </w:rPr>
        <w:t>&gt; &lt;Innovación&gt;.</w:t>
      </w:r>
    </w:p>
    <w:p w:rsidR="00005B98" w:rsidRPr="00005B98" w:rsidRDefault="00005B98" w:rsidP="00005B98">
      <w:pPr>
        <w:pStyle w:val="Default"/>
        <w:jc w:val="both"/>
        <w:rPr>
          <w:rFonts w:ascii="Helvetica" w:hAnsi="Helvetica" w:cs="Helvetica-LightOblique"/>
          <w:b/>
          <w:iCs/>
          <w:sz w:val="20"/>
          <w:szCs w:val="20"/>
        </w:rPr>
      </w:pPr>
    </w:p>
    <w:p w:rsidR="00DF6083" w:rsidRPr="00005B98" w:rsidRDefault="00352888" w:rsidP="00005B98">
      <w:pPr>
        <w:pStyle w:val="Default"/>
        <w:jc w:val="both"/>
        <w:rPr>
          <w:rFonts w:ascii="Helvetica" w:hAnsi="Helvetica"/>
          <w:sz w:val="20"/>
          <w:szCs w:val="20"/>
        </w:rPr>
      </w:pPr>
      <w:r w:rsidRPr="00005B98">
        <w:rPr>
          <w:rFonts w:ascii="Helvetica" w:hAnsi="Helvetica" w:cs="Helvetica-LightOblique"/>
          <w:b/>
          <w:iCs/>
          <w:sz w:val="20"/>
          <w:szCs w:val="20"/>
        </w:rPr>
        <w:t>RESUMEN</w:t>
      </w:r>
    </w:p>
    <w:p w:rsidR="00E54DC7" w:rsidRPr="00005B98" w:rsidRDefault="00E54DC7" w:rsidP="00005B98">
      <w:pPr>
        <w:autoSpaceDE w:val="0"/>
        <w:autoSpaceDN w:val="0"/>
        <w:adjustRightInd w:val="0"/>
        <w:spacing w:after="0" w:line="240" w:lineRule="auto"/>
        <w:jc w:val="both"/>
        <w:rPr>
          <w:rFonts w:ascii="Helvetica" w:hAnsi="Helvetica" w:cs="Helvetica Light"/>
          <w:color w:val="000000"/>
          <w:sz w:val="20"/>
          <w:szCs w:val="20"/>
        </w:rPr>
      </w:pPr>
    </w:p>
    <w:p w:rsidR="00E54DC7" w:rsidRPr="00005B98" w:rsidRDefault="00005B98" w:rsidP="00005B98">
      <w:pPr>
        <w:pStyle w:val="Default"/>
        <w:jc w:val="both"/>
        <w:rPr>
          <w:rFonts w:ascii="Helvetica" w:hAnsi="Helvetica"/>
          <w:sz w:val="20"/>
          <w:szCs w:val="20"/>
        </w:rPr>
      </w:pPr>
      <w:r w:rsidRPr="00005B98">
        <w:rPr>
          <w:rFonts w:ascii="Helvetica" w:hAnsi="Helvetica"/>
          <w:iCs/>
          <w:color w:val="221E1F"/>
          <w:sz w:val="20"/>
          <w:szCs w:val="20"/>
        </w:rPr>
        <w:t>Las organizaciones internacionales y los gobiernos utilizan cada vez más las intervenciones en las cadenas de valor en el contexto de sus estrategias de desarrollo del sector privado. Estos programas pretenden mejorar las condiciones de acceso al mercado, apoyar los procesos de modernización y escalamiento y modificar la distribución de los riesgos y beneficios en las cadenas globales de valor (CGV) a favor de las empresas y los productores de los países en desarrollo. En este estudio se desarrolla una tipología y un resumen de las intervenciones en CGV realizadas por organizaciones y donantes internacionales, y se presenta un caso específico en profundidad. Se argumenta que es necesario comprender las CGV, lo que las impulsa y sus estructuras de gobernanza para desarrollar e implementar intervenciones efectivas, y muestra cómo las intervenciones a menudo corren el riesgo de perder su enfoque y compartir solamente una “etiqueta” sin un concepto real subyacente. El estudio concluye con un conjunto de principios para realizar políticas y programas de cadenas de valor eficaces, que incluyen la propuesta de apoyar estrategias de escalamiento a medida y específicas para el contexto y considerar el papel potencial pero ambivalente de las empresas líderes. Además, el estudio resalta la importancia de sistemas de innovación locales más sólidos y de esfuerzos de capacitación y de innovación que sean coherentes con las características de las CGV; y destaca el potencial que ofrecen los mercados de las economías emergentes para el escalamiento en cadenas globales de valor.</w:t>
      </w:r>
    </w:p>
    <w:p w:rsidR="00005B98" w:rsidRPr="00005B98" w:rsidRDefault="00005B98" w:rsidP="00005B98">
      <w:pPr>
        <w:spacing w:after="0" w:line="240" w:lineRule="auto"/>
        <w:jc w:val="both"/>
        <w:rPr>
          <w:rFonts w:ascii="Helvetica" w:hAnsi="Helvetica"/>
          <w:b/>
          <w:sz w:val="20"/>
          <w:szCs w:val="20"/>
          <w:lang w:val="en-US"/>
        </w:rPr>
      </w:pPr>
    </w:p>
    <w:p w:rsidR="00352888" w:rsidRPr="00005B98" w:rsidRDefault="00352888" w:rsidP="00005B98">
      <w:pPr>
        <w:spacing w:after="0" w:line="240" w:lineRule="auto"/>
        <w:jc w:val="both"/>
        <w:rPr>
          <w:rFonts w:ascii="Helvetica" w:hAnsi="Helvetica"/>
          <w:b/>
          <w:sz w:val="20"/>
          <w:szCs w:val="20"/>
          <w:lang w:val="en-US"/>
        </w:rPr>
      </w:pPr>
      <w:r w:rsidRPr="00005B98">
        <w:rPr>
          <w:rFonts w:ascii="Helvetica" w:hAnsi="Helvetica"/>
          <w:b/>
          <w:sz w:val="20"/>
          <w:szCs w:val="20"/>
          <w:lang w:val="en-US"/>
        </w:rPr>
        <w:t>SUMMARY</w:t>
      </w:r>
    </w:p>
    <w:p w:rsidR="00005B98" w:rsidRPr="00005B98" w:rsidRDefault="00005B98" w:rsidP="00005B98">
      <w:pPr>
        <w:autoSpaceDE w:val="0"/>
        <w:autoSpaceDN w:val="0"/>
        <w:adjustRightInd w:val="0"/>
        <w:spacing w:after="0" w:line="240" w:lineRule="auto"/>
        <w:jc w:val="both"/>
        <w:rPr>
          <w:rFonts w:ascii="Helvetica" w:hAnsi="Helvetica" w:cs="Helvetica Light"/>
          <w:color w:val="000000"/>
          <w:sz w:val="20"/>
          <w:szCs w:val="20"/>
        </w:rPr>
      </w:pPr>
    </w:p>
    <w:p w:rsidR="00933CC0" w:rsidRPr="00005B98" w:rsidRDefault="00005B98" w:rsidP="00005B98">
      <w:pPr>
        <w:pStyle w:val="Default"/>
        <w:jc w:val="both"/>
        <w:rPr>
          <w:rFonts w:ascii="Helvetica" w:hAnsi="Helvetica"/>
          <w:sz w:val="20"/>
          <w:szCs w:val="20"/>
          <w:lang w:val="en-US"/>
        </w:rPr>
      </w:pPr>
      <w:r w:rsidRPr="00005B98">
        <w:rPr>
          <w:rFonts w:ascii="Helvetica" w:hAnsi="Helvetica" w:cstheme="minorBidi"/>
          <w:iCs/>
          <w:color w:val="221E1F"/>
          <w:sz w:val="20"/>
          <w:szCs w:val="20"/>
          <w:lang w:val="en-US"/>
        </w:rPr>
        <w:t xml:space="preserve">Value chain interventions are increasingly used by international organizations and donor agencies in the context of their private sector development strategies. These programs pretend to improve market access conditions, support upgrading processes, and modify the distribution of risks </w:t>
      </w:r>
      <w:r w:rsidRPr="00005B98">
        <w:rPr>
          <w:rFonts w:ascii="Helvetica" w:hAnsi="Helvetica"/>
          <w:iCs/>
          <w:color w:val="221E1F"/>
          <w:sz w:val="20"/>
          <w:szCs w:val="20"/>
          <w:lang w:val="en-US"/>
        </w:rPr>
        <w:t>and benefits in Global Value Chains (GVCs) in favor of developing countries’ firms and producers. This paper develops a typology and a snapshot of GVC interventions by international organizations and donors, and presents an in-depth case on one multilateral lending institution. The paper argues that an understanding of GVCs, their drivers and governance structures is necessary to design and</w:t>
      </w:r>
      <w:r w:rsidRPr="00005B98">
        <w:rPr>
          <w:rFonts w:ascii="Helvetica" w:hAnsi="Helvetica"/>
          <w:sz w:val="20"/>
          <w:szCs w:val="20"/>
          <w:lang w:val="en-US"/>
        </w:rPr>
        <w:t xml:space="preserve"> </w:t>
      </w:r>
      <w:r w:rsidRPr="00005B98">
        <w:rPr>
          <w:rFonts w:ascii="Helvetica" w:hAnsi="Helvetica" w:cstheme="minorBidi"/>
          <w:iCs/>
          <w:color w:val="221E1F"/>
          <w:sz w:val="20"/>
          <w:szCs w:val="20"/>
          <w:lang w:val="en-US"/>
        </w:rPr>
        <w:t>implement effective interventions and shows how interventions often risk losing focus and sharing only a “label” with no real underlying concept. The paper concludes with a set of principles for effective value chain policies and programs that in</w:t>
      </w:r>
      <w:r w:rsidRPr="00005B98">
        <w:rPr>
          <w:rFonts w:ascii="Helvetica" w:hAnsi="Helvetica"/>
          <w:iCs/>
          <w:color w:val="221E1F"/>
          <w:sz w:val="20"/>
          <w:szCs w:val="20"/>
          <w:lang w:val="en-US"/>
        </w:rPr>
        <w:t>clude the support to tailor-made, context-specific upgrading strategies and the consideration of the potential but ambivalent role of lead firms and first-tier suppliers/intermediaries. Moreover, the paper stresses the importance of stronger local innovation systems and learning and innovation efforts coherent with GVC characteristics, and highlights the potential o</w:t>
      </w:r>
      <w:bookmarkStart w:id="0" w:name="_GoBack"/>
      <w:bookmarkEnd w:id="0"/>
      <w:r w:rsidRPr="00005B98">
        <w:rPr>
          <w:rFonts w:ascii="Helvetica" w:hAnsi="Helvetica"/>
          <w:iCs/>
          <w:color w:val="221E1F"/>
          <w:sz w:val="20"/>
          <w:szCs w:val="20"/>
          <w:lang w:val="en-US"/>
        </w:rPr>
        <w:t>ffered by the growing markets in emerging economies.</w:t>
      </w:r>
    </w:p>
    <w:sectPr w:rsidR="00933CC0" w:rsidRPr="00005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5B98"/>
    <w:rsid w:val="000120D7"/>
    <w:rsid w:val="00057722"/>
    <w:rsid w:val="000745F7"/>
    <w:rsid w:val="00080DE0"/>
    <w:rsid w:val="00094C4B"/>
    <w:rsid w:val="000F1755"/>
    <w:rsid w:val="000F34B5"/>
    <w:rsid w:val="000F36E3"/>
    <w:rsid w:val="00101114"/>
    <w:rsid w:val="001269B8"/>
    <w:rsid w:val="00146340"/>
    <w:rsid w:val="00177171"/>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19BD"/>
    <w:rsid w:val="0064293A"/>
    <w:rsid w:val="00642A77"/>
    <w:rsid w:val="00671180"/>
    <w:rsid w:val="006825E3"/>
    <w:rsid w:val="006C78E8"/>
    <w:rsid w:val="006F7C52"/>
    <w:rsid w:val="00706C36"/>
    <w:rsid w:val="00712F45"/>
    <w:rsid w:val="00716E3C"/>
    <w:rsid w:val="007242C0"/>
    <w:rsid w:val="00730C16"/>
    <w:rsid w:val="007405D0"/>
    <w:rsid w:val="007539D9"/>
    <w:rsid w:val="007562B6"/>
    <w:rsid w:val="007607D6"/>
    <w:rsid w:val="00770E7C"/>
    <w:rsid w:val="0077545C"/>
    <w:rsid w:val="00793FC9"/>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42A"/>
    <w:rsid w:val="00E54670"/>
    <w:rsid w:val="00E54DC7"/>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C1BBF"/>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2017-05-29T19:27:00Z</dcterms:created>
  <dcterms:modified xsi:type="dcterms:W3CDTF">2017-05-29T19:35:00Z</dcterms:modified>
</cp:coreProperties>
</file>