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25" w:rsidRDefault="00D05925" w:rsidP="00FD67A8">
      <w:pPr>
        <w:pStyle w:val="Normal-paracolocar"/>
        <w:spacing w:line="240" w:lineRule="auto"/>
        <w:rPr>
          <w:rFonts w:ascii="Arial" w:hAnsi="Arial" w:cs="Arial"/>
          <w:color w:val="221E1F"/>
        </w:rPr>
      </w:pPr>
      <w:r w:rsidRPr="00E623EF">
        <w:rPr>
          <w:rFonts w:ascii="Arial" w:hAnsi="Arial" w:cs="Arial"/>
          <w:color w:val="221E1F"/>
        </w:rPr>
        <w:t>Políticas sociales en América Latina en el siglo XXI. Los programas de transferenc</w:t>
      </w:r>
      <w:r>
        <w:rPr>
          <w:rFonts w:ascii="Arial" w:hAnsi="Arial" w:cs="Arial"/>
          <w:color w:val="221E1F"/>
        </w:rPr>
        <w:t xml:space="preserve">ias monetarias condicionadas </w:t>
      </w:r>
    </w:p>
    <w:p w:rsidR="00D05925" w:rsidRDefault="00D05925" w:rsidP="00FD67A8">
      <w:pPr>
        <w:pStyle w:val="Normal-paracolocar"/>
        <w:spacing w:line="240" w:lineRule="auto"/>
        <w:rPr>
          <w:rFonts w:ascii="Arial" w:hAnsi="Arial" w:cs="Arial"/>
          <w:color w:val="221E1F"/>
        </w:rPr>
      </w:pPr>
      <w:r w:rsidRPr="00E623EF">
        <w:rPr>
          <w:rFonts w:ascii="Arial" w:hAnsi="Arial" w:cs="Arial"/>
          <w:color w:val="221E1F"/>
        </w:rPr>
        <w:t xml:space="preserve">Lena </w:t>
      </w:r>
      <w:proofErr w:type="spellStart"/>
      <w:r w:rsidRPr="00E623EF">
        <w:rPr>
          <w:rFonts w:ascii="Arial" w:hAnsi="Arial" w:cs="Arial"/>
          <w:color w:val="221E1F"/>
        </w:rPr>
        <w:t>Lavinas</w:t>
      </w:r>
      <w:proofErr w:type="spellEnd"/>
    </w:p>
    <w:p w:rsidR="00D05925" w:rsidRDefault="00D05925" w:rsidP="00FD67A8">
      <w:pPr>
        <w:pStyle w:val="Normal-paracolocar"/>
        <w:spacing w:line="240" w:lineRule="auto"/>
        <w:rPr>
          <w:rFonts w:ascii="Arial" w:hAnsi="Arial" w:cs="Arial"/>
          <w:color w:val="221E1F"/>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164</w:t>
      </w:r>
      <w:r w:rsidR="00FD67A8">
        <w:rPr>
          <w:rFonts w:ascii="Helvetica" w:hAnsi="Helvetica" w:cs="Helvetica-Light"/>
          <w:color w:val="000000"/>
        </w:rPr>
        <w:t>7</w:t>
      </w:r>
      <w:r>
        <w:rPr>
          <w:rFonts w:ascii="Helvetica" w:hAnsi="Helvetica" w:cs="Helvetica-Light"/>
          <w:color w:val="000000"/>
        </w:rPr>
        <w:t>]</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F5207E">
        <w:rPr>
          <w:rFonts w:ascii="Helvetica" w:hAnsi="Helvetica" w:cs="Helvetica"/>
          <w:sz w:val="22"/>
          <w:szCs w:val="22"/>
        </w:rPr>
        <w:t>pp. 3-34).</w:t>
      </w:r>
    </w:p>
    <w:p w:rsidR="00D05925" w:rsidRDefault="00D05925" w:rsidP="00FD67A8">
      <w:pPr>
        <w:pStyle w:val="Normal-paracolocar"/>
        <w:spacing w:line="240" w:lineRule="auto"/>
        <w:rPr>
          <w:rFonts w:ascii="Helvetica" w:hAnsi="Helvetica" w:cs="Helvetica"/>
          <w:sz w:val="22"/>
          <w:szCs w:val="22"/>
        </w:rPr>
      </w:pPr>
    </w:p>
    <w:p w:rsidR="00F5207E" w:rsidRDefault="00FD67A8" w:rsidP="00FD67A8">
      <w:pPr>
        <w:pStyle w:val="Normal-paracolocar"/>
        <w:spacing w:line="240" w:lineRule="auto"/>
        <w:rPr>
          <w:rFonts w:ascii="Georgia" w:hAnsi="Georgia"/>
          <w:color w:val="auto"/>
          <w:sz w:val="20"/>
          <w:szCs w:val="15"/>
        </w:rPr>
      </w:pPr>
      <w:r>
        <w:rPr>
          <w:rFonts w:ascii="Helvetica" w:hAnsi="Helvetica" w:cs="Helvetica"/>
          <w:sz w:val="22"/>
          <w:szCs w:val="22"/>
        </w:rPr>
        <w:t>Descriptores</w:t>
      </w:r>
      <w:r w:rsidR="00D05925" w:rsidRPr="00D05925">
        <w:rPr>
          <w:rFonts w:ascii="Georgia" w:hAnsi="Georgia"/>
          <w:color w:val="auto"/>
          <w:sz w:val="20"/>
          <w:szCs w:val="15"/>
        </w:rPr>
        <w:t xml:space="preserve">: &lt;Política social&gt; &lt;América Latina&gt; &lt;Transferencias monetarias condicionadas&gt; &lt;Transferencia monetarias incondicionadas&gt; </w:t>
      </w:r>
    </w:p>
    <w:p w:rsidR="00F5207E" w:rsidRDefault="00F5207E" w:rsidP="00FD67A8">
      <w:pPr>
        <w:pStyle w:val="Normal-paracolocar"/>
        <w:spacing w:line="240" w:lineRule="auto"/>
        <w:rPr>
          <w:rFonts w:ascii="Georgia" w:hAnsi="Georgia"/>
          <w:color w:val="auto"/>
          <w:sz w:val="20"/>
          <w:szCs w:val="15"/>
        </w:rPr>
      </w:pPr>
    </w:p>
    <w:p w:rsidR="00F5207E" w:rsidRDefault="00D05925" w:rsidP="00FD67A8">
      <w:pPr>
        <w:pStyle w:val="Normal-paracolocar"/>
        <w:spacing w:line="240" w:lineRule="auto"/>
        <w:rPr>
          <w:rFonts w:ascii="Georgia" w:hAnsi="Georgia"/>
          <w:color w:val="auto"/>
          <w:sz w:val="20"/>
          <w:szCs w:val="15"/>
        </w:rPr>
      </w:pPr>
      <w:proofErr w:type="spellStart"/>
      <w:r w:rsidRPr="00D05925">
        <w:rPr>
          <w:rFonts w:ascii="Georgia" w:hAnsi="Georgia"/>
          <w:color w:val="auto"/>
          <w:sz w:val="20"/>
          <w:szCs w:val="15"/>
        </w:rPr>
        <w:t>Keywords</w:t>
      </w:r>
      <w:proofErr w:type="spellEnd"/>
      <w:r w:rsidRPr="00D05925">
        <w:rPr>
          <w:rFonts w:ascii="Georgia" w:hAnsi="Georgia"/>
          <w:color w:val="auto"/>
          <w:sz w:val="20"/>
          <w:szCs w:val="15"/>
        </w:rPr>
        <w:t xml:space="preserve">: &lt;Social </w:t>
      </w:r>
      <w:proofErr w:type="spellStart"/>
      <w:r w:rsidRPr="00D05925">
        <w:rPr>
          <w:rFonts w:ascii="Georgia" w:hAnsi="Georgia"/>
          <w:color w:val="auto"/>
          <w:sz w:val="20"/>
          <w:szCs w:val="15"/>
        </w:rPr>
        <w:t>policy</w:t>
      </w:r>
      <w:proofErr w:type="spellEnd"/>
      <w:r w:rsidRPr="00D05925">
        <w:rPr>
          <w:rFonts w:ascii="Georgia" w:hAnsi="Georgia"/>
          <w:color w:val="auto"/>
          <w:sz w:val="20"/>
          <w:szCs w:val="15"/>
        </w:rPr>
        <w:t>&gt; &lt;</w:t>
      </w:r>
      <w:proofErr w:type="spellStart"/>
      <w:r w:rsidRPr="00D05925">
        <w:rPr>
          <w:rFonts w:ascii="Georgia" w:hAnsi="Georgia"/>
          <w:color w:val="auto"/>
          <w:sz w:val="20"/>
          <w:szCs w:val="15"/>
        </w:rPr>
        <w:t>Latin</w:t>
      </w:r>
      <w:proofErr w:type="spellEnd"/>
      <w:r w:rsidRPr="00D05925">
        <w:rPr>
          <w:rFonts w:ascii="Georgia" w:hAnsi="Georgia"/>
          <w:color w:val="auto"/>
          <w:sz w:val="20"/>
          <w:szCs w:val="15"/>
        </w:rPr>
        <w:t xml:space="preserve"> </w:t>
      </w:r>
      <w:proofErr w:type="spellStart"/>
      <w:r w:rsidRPr="00D05925">
        <w:rPr>
          <w:rFonts w:ascii="Georgia" w:hAnsi="Georgia"/>
          <w:color w:val="auto"/>
          <w:sz w:val="20"/>
          <w:szCs w:val="15"/>
        </w:rPr>
        <w:t>America</w:t>
      </w:r>
      <w:proofErr w:type="spellEnd"/>
      <w:r w:rsidRPr="00D05925">
        <w:rPr>
          <w:rFonts w:ascii="Georgia" w:hAnsi="Georgia"/>
          <w:color w:val="auto"/>
          <w:sz w:val="20"/>
          <w:szCs w:val="15"/>
        </w:rPr>
        <w:t>&gt; &lt;</w:t>
      </w:r>
      <w:proofErr w:type="spellStart"/>
      <w:r w:rsidRPr="00D05925">
        <w:rPr>
          <w:rFonts w:ascii="Georgia" w:hAnsi="Georgia"/>
          <w:color w:val="auto"/>
          <w:sz w:val="20"/>
          <w:szCs w:val="15"/>
        </w:rPr>
        <w:t>Conditional</w:t>
      </w:r>
      <w:proofErr w:type="spellEnd"/>
      <w:r w:rsidRPr="00D05925">
        <w:rPr>
          <w:rFonts w:ascii="Georgia" w:hAnsi="Georgia"/>
          <w:color w:val="auto"/>
          <w:sz w:val="20"/>
          <w:szCs w:val="15"/>
        </w:rPr>
        <w:t xml:space="preserve"> cash </w:t>
      </w:r>
      <w:proofErr w:type="spellStart"/>
      <w:r w:rsidRPr="00D05925">
        <w:rPr>
          <w:rFonts w:ascii="Georgia" w:hAnsi="Georgia"/>
          <w:color w:val="auto"/>
          <w:sz w:val="20"/>
          <w:szCs w:val="15"/>
        </w:rPr>
        <w:t>transfers</w:t>
      </w:r>
      <w:proofErr w:type="spellEnd"/>
      <w:r w:rsidRPr="00D05925">
        <w:rPr>
          <w:rFonts w:ascii="Georgia" w:hAnsi="Georgia"/>
          <w:color w:val="auto"/>
          <w:sz w:val="20"/>
          <w:szCs w:val="15"/>
        </w:rPr>
        <w:t>&gt; &lt;</w:t>
      </w:r>
      <w:proofErr w:type="spellStart"/>
      <w:r w:rsidRPr="00D05925">
        <w:rPr>
          <w:rFonts w:ascii="Georgia" w:hAnsi="Georgia"/>
          <w:color w:val="auto"/>
          <w:sz w:val="20"/>
          <w:szCs w:val="15"/>
        </w:rPr>
        <w:t>Unconditional</w:t>
      </w:r>
      <w:proofErr w:type="spellEnd"/>
      <w:r w:rsidRPr="00D05925">
        <w:rPr>
          <w:rFonts w:ascii="Georgia" w:hAnsi="Georgia"/>
          <w:color w:val="auto"/>
          <w:sz w:val="20"/>
          <w:szCs w:val="15"/>
        </w:rPr>
        <w:t xml:space="preserve"> cash </w:t>
      </w:r>
      <w:proofErr w:type="spellStart"/>
      <w:r w:rsidRPr="00D05925">
        <w:rPr>
          <w:rFonts w:ascii="Georgia" w:hAnsi="Georgia"/>
          <w:color w:val="auto"/>
          <w:sz w:val="20"/>
          <w:szCs w:val="15"/>
        </w:rPr>
        <w:t>transfers</w:t>
      </w:r>
      <w:proofErr w:type="spellEnd"/>
      <w:r w:rsidRPr="00D05925">
        <w:rPr>
          <w:rFonts w:ascii="Georgia" w:hAnsi="Georgia"/>
          <w:color w:val="auto"/>
          <w:sz w:val="20"/>
          <w:szCs w:val="15"/>
        </w:rPr>
        <w:t xml:space="preserve">&gt;. </w:t>
      </w:r>
    </w:p>
    <w:p w:rsidR="00F5207E" w:rsidRDefault="00F5207E" w:rsidP="00FD67A8">
      <w:pPr>
        <w:pStyle w:val="Normal-paracolocar"/>
        <w:spacing w:line="240" w:lineRule="auto"/>
        <w:rPr>
          <w:rFonts w:ascii="Georgia" w:hAnsi="Georgia"/>
          <w:color w:val="auto"/>
          <w:sz w:val="20"/>
          <w:szCs w:val="15"/>
        </w:rPr>
      </w:pPr>
    </w:p>
    <w:p w:rsidR="00D05925" w:rsidRDefault="00D05925" w:rsidP="00FD67A8">
      <w:pPr>
        <w:pStyle w:val="Normal-paracolocar"/>
        <w:spacing w:line="240" w:lineRule="auto"/>
        <w:rPr>
          <w:rFonts w:ascii="Helvetica" w:hAnsi="Helvetica" w:cs="Helvetica"/>
          <w:sz w:val="22"/>
          <w:szCs w:val="22"/>
        </w:rPr>
      </w:pPr>
      <w:r w:rsidRPr="00D05925">
        <w:rPr>
          <w:rFonts w:ascii="Georgia" w:hAnsi="Georgia"/>
          <w:color w:val="auto"/>
          <w:sz w:val="20"/>
          <w:szCs w:val="15"/>
        </w:rPr>
        <w:t>Clasificación JEL: I28, I38,</w:t>
      </w:r>
    </w:p>
    <w:p w:rsidR="00E623EF" w:rsidRPr="00D05925" w:rsidRDefault="00E623EF" w:rsidP="00FD67A8">
      <w:pPr>
        <w:spacing w:after="0" w:line="240" w:lineRule="auto"/>
        <w:jc w:val="both"/>
        <w:rPr>
          <w:rFonts w:ascii="Georgia" w:hAnsi="Georgia" w:cs="Arial"/>
          <w:sz w:val="20"/>
          <w:szCs w:val="24"/>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D05925" w:rsidRPr="00FD67A8" w:rsidRDefault="00D05925" w:rsidP="00FD67A8">
      <w:pPr>
        <w:spacing w:after="0" w:line="240" w:lineRule="auto"/>
        <w:jc w:val="both"/>
        <w:rPr>
          <w:rFonts w:ascii="Georgia" w:hAnsi="Georgia"/>
          <w:iCs/>
          <w:sz w:val="20"/>
          <w:szCs w:val="16"/>
        </w:rPr>
      </w:pPr>
      <w:r w:rsidRPr="00FD67A8">
        <w:rPr>
          <w:rFonts w:ascii="Georgia" w:hAnsi="Georgia"/>
          <w:iCs/>
          <w:sz w:val="20"/>
          <w:szCs w:val="16"/>
        </w:rPr>
        <w:t>Este trabajo analiza América Latina como laboratorio de las transferencias monetarias condicionadas (TMC): estas se han convertido rápidamente en el paradigma hegemónico de la protección social en el Sur global. Mediante un estudio comparativo, la autora revela el modelo de las mencionadas transferencias como una estrategia para la financiación –no abolición– de la pobreza. En la conclusión del trabajo compara las TMC con las transferencias monetarias incondicionadas (TMI).</w:t>
      </w:r>
    </w:p>
    <w:p w:rsidR="008A1C23" w:rsidRDefault="008A1C23" w:rsidP="00FD67A8">
      <w:pPr>
        <w:spacing w:after="0" w:line="240" w:lineRule="auto"/>
        <w:jc w:val="both"/>
        <w:rPr>
          <w:rFonts w:ascii="Georgia" w:hAnsi="Georgia"/>
          <w:b/>
          <w:sz w:val="20"/>
          <w:szCs w:val="16"/>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F5207E" w:rsidRDefault="00D05925" w:rsidP="00FD67A8">
      <w:pPr>
        <w:spacing w:after="0" w:line="240" w:lineRule="auto"/>
        <w:jc w:val="both"/>
        <w:rPr>
          <w:rFonts w:ascii="Georgia" w:hAnsi="Georgia" w:cs="Arial"/>
          <w:sz w:val="20"/>
          <w:szCs w:val="24"/>
          <w:lang w:val="en-US"/>
        </w:rPr>
      </w:pPr>
      <w:r w:rsidRPr="00F5207E">
        <w:rPr>
          <w:rFonts w:ascii="Georgia" w:hAnsi="Georgia"/>
          <w:iCs/>
          <w:sz w:val="20"/>
          <w:szCs w:val="16"/>
          <w:lang w:val="en-US"/>
        </w:rPr>
        <w:t xml:space="preserve">This paper analyzes Latin America as laboratory for conditional cash transfers, fast becoming the hegemonic social-protection paradigm for the Global South. In a comparative survey, the author reveals the CCT model as a strategy for the </w:t>
      </w:r>
      <w:proofErr w:type="spellStart"/>
      <w:r w:rsidRPr="00F5207E">
        <w:rPr>
          <w:rFonts w:ascii="Georgia" w:hAnsi="Georgia"/>
          <w:iCs/>
          <w:sz w:val="20"/>
          <w:szCs w:val="16"/>
          <w:lang w:val="en-US"/>
        </w:rPr>
        <w:t>financialization</w:t>
      </w:r>
      <w:proofErr w:type="spellEnd"/>
      <w:r w:rsidRPr="00F5207E">
        <w:rPr>
          <w:rFonts w:ascii="Georgia" w:hAnsi="Georgia"/>
          <w:iCs/>
          <w:sz w:val="20"/>
          <w:szCs w:val="16"/>
          <w:lang w:val="en-US"/>
        </w:rPr>
        <w:t xml:space="preserve">—not abolition—of poverty. The conclusion of the article compares CCTs to UCTs (unconditional cash transfers). </w:t>
      </w:r>
      <w:bookmarkStart w:id="0" w:name="_GoBack"/>
      <w:bookmarkEnd w:id="0"/>
    </w:p>
    <w:sectPr w:rsidR="00D05925" w:rsidRPr="00F5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97651"/>
    <w:rsid w:val="00214E6E"/>
    <w:rsid w:val="00535AB7"/>
    <w:rsid w:val="008A1C23"/>
    <w:rsid w:val="00C82045"/>
    <w:rsid w:val="00D05925"/>
    <w:rsid w:val="00DA40CF"/>
    <w:rsid w:val="00E623EF"/>
    <w:rsid w:val="00F5207E"/>
    <w:rsid w:val="00FD67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2015-02-05T18:56:00Z</dcterms:created>
  <dcterms:modified xsi:type="dcterms:W3CDTF">2015-02-05T19:55:00Z</dcterms:modified>
</cp:coreProperties>
</file>